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ESTRATEGIA </w:t>
      </w:r>
      <w:r w:rsidDel="00000000" w:rsidR="00000000" w:rsidRPr="00000000">
        <w:rPr>
          <w:b w:val="1"/>
          <w:sz w:val="30"/>
          <w:szCs w:val="30"/>
          <w:rtl w:val="0"/>
        </w:rPr>
        <w:t xml:space="preserve">PARA LA IMPLEMENTACIÓN DEL MODELO REGIONAL DE TRANSPARENCIA MUNICIPAL</w:t>
      </w:r>
    </w:p>
    <w:p w:rsidR="00000000" w:rsidDel="00000000" w:rsidP="00000000" w:rsidRDefault="00000000" w:rsidRPr="00000000" w14:paraId="00000002">
      <w:pPr>
        <w:rPr>
          <w:sz w:val="28"/>
          <w:szCs w:val="28"/>
        </w:rPr>
      </w:pPr>
      <w:r w:rsidDel="00000000" w:rsidR="00000000" w:rsidRPr="00000000">
        <w:rPr>
          <w:rtl w:val="0"/>
        </w:rPr>
      </w:r>
    </w:p>
    <w:tbl>
      <w:tblPr>
        <w:tblStyle w:val="Table1"/>
        <w:tblW w:w="12973.999999999998" w:type="dxa"/>
        <w:jc w:val="left"/>
        <w:tblInd w:w="0.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4A0"/>
      </w:tblPr>
      <w:tblGrid>
        <w:gridCol w:w="2105"/>
        <w:gridCol w:w="3659"/>
        <w:gridCol w:w="4914"/>
        <w:gridCol w:w="2296"/>
        <w:tblGridChange w:id="0">
          <w:tblGrid>
            <w:gridCol w:w="2105"/>
            <w:gridCol w:w="3659"/>
            <w:gridCol w:w="4914"/>
            <w:gridCol w:w="2296"/>
          </w:tblGrid>
        </w:tblGridChange>
      </w:tblGrid>
      <w:tr>
        <w:trPr>
          <w:cantSplit w:val="0"/>
          <w:trHeight w:val="558" w:hRule="atLeast"/>
          <w:tblHeader w:val="0"/>
        </w:trPr>
        <w:tc>
          <w:tcPr>
            <w:tcBorders>
              <w:top w:color="ffffff" w:space="0" w:sz="12" w:val="single"/>
              <w:left w:color="ffffff" w:space="0" w:sz="12" w:val="single"/>
              <w:right w:color="ffffff" w:space="0" w:sz="12" w:val="single"/>
            </w:tcBorders>
            <w:shd w:fill="995599" w:val="clear"/>
            <w:vAlign w:val="center"/>
          </w:tcPr>
          <w:p w:rsidR="00000000" w:rsidDel="00000000" w:rsidP="00000000" w:rsidRDefault="00000000" w:rsidRPr="00000000" w14:paraId="00000003">
            <w:pPr>
              <w:ind w:left="-123" w:firstLine="0"/>
              <w:jc w:val="center"/>
              <w:rPr>
                <w:rFonts w:ascii="Palatino Linotype" w:cs="Palatino Linotype" w:eastAsia="Palatino Linotype" w:hAnsi="Palatino Linotype"/>
                <w:sz w:val="30"/>
                <w:szCs w:val="30"/>
              </w:rPr>
            </w:pPr>
            <w:r w:rsidDel="00000000" w:rsidR="00000000" w:rsidRPr="00000000">
              <w:rPr>
                <w:rFonts w:ascii="Palatino Linotype" w:cs="Palatino Linotype" w:eastAsia="Palatino Linotype" w:hAnsi="Palatino Linotype"/>
                <w:sz w:val="30"/>
                <w:szCs w:val="30"/>
                <w:rtl w:val="0"/>
              </w:rPr>
              <w:t xml:space="preserve">Dimensión</w:t>
            </w:r>
          </w:p>
        </w:tc>
        <w:tc>
          <w:tcPr>
            <w:tcBorders>
              <w:top w:color="ffffff" w:space="0" w:sz="12" w:val="single"/>
              <w:left w:color="ffffff" w:space="0" w:sz="12" w:val="single"/>
              <w:right w:color="ffffff" w:space="0" w:sz="12" w:val="single"/>
            </w:tcBorders>
            <w:shd w:fill="995599" w:val="clear"/>
            <w:vAlign w:val="center"/>
          </w:tcPr>
          <w:p w:rsidR="00000000" w:rsidDel="00000000" w:rsidP="00000000" w:rsidRDefault="00000000" w:rsidRPr="00000000" w14:paraId="00000004">
            <w:pPr>
              <w:jc w:val="center"/>
              <w:rPr>
                <w:rFonts w:ascii="Palatino Linotype" w:cs="Palatino Linotype" w:eastAsia="Palatino Linotype" w:hAnsi="Palatino Linotype"/>
                <w:sz w:val="30"/>
                <w:szCs w:val="30"/>
              </w:rPr>
            </w:pPr>
            <w:r w:rsidDel="00000000" w:rsidR="00000000" w:rsidRPr="00000000">
              <w:rPr>
                <w:rFonts w:ascii="Palatino Linotype" w:cs="Palatino Linotype" w:eastAsia="Palatino Linotype" w:hAnsi="Palatino Linotype"/>
                <w:sz w:val="30"/>
                <w:szCs w:val="30"/>
                <w:rtl w:val="0"/>
              </w:rPr>
              <w:t xml:space="preserve">Herramienta</w:t>
            </w:r>
          </w:p>
        </w:tc>
        <w:tc>
          <w:tcPr>
            <w:tcBorders>
              <w:top w:color="ffffff" w:space="0" w:sz="12" w:val="single"/>
              <w:left w:color="ffffff" w:space="0" w:sz="12" w:val="single"/>
              <w:right w:color="ffffff" w:space="0" w:sz="12" w:val="single"/>
            </w:tcBorders>
            <w:shd w:fill="995599" w:val="clear"/>
            <w:vAlign w:val="center"/>
          </w:tcPr>
          <w:p w:rsidR="00000000" w:rsidDel="00000000" w:rsidP="00000000" w:rsidRDefault="00000000" w:rsidRPr="00000000" w14:paraId="00000005">
            <w:pPr>
              <w:ind w:left="12" w:firstLine="0"/>
              <w:jc w:val="center"/>
              <w:rPr>
                <w:rFonts w:ascii="Palatino Linotype" w:cs="Palatino Linotype" w:eastAsia="Palatino Linotype" w:hAnsi="Palatino Linotype"/>
                <w:sz w:val="30"/>
                <w:szCs w:val="30"/>
              </w:rPr>
            </w:pPr>
            <w:r w:rsidDel="00000000" w:rsidR="00000000" w:rsidRPr="00000000">
              <w:rPr>
                <w:rFonts w:ascii="Palatino Linotype" w:cs="Palatino Linotype" w:eastAsia="Palatino Linotype" w:hAnsi="Palatino Linotype"/>
                <w:sz w:val="30"/>
                <w:szCs w:val="30"/>
                <w:rtl w:val="0"/>
              </w:rPr>
              <w:t xml:space="preserve">Descripción</w:t>
            </w:r>
          </w:p>
        </w:tc>
        <w:tc>
          <w:tcPr>
            <w:tcBorders>
              <w:top w:color="ffffff" w:space="0" w:sz="12" w:val="single"/>
              <w:left w:color="ffffff" w:space="0" w:sz="12" w:val="single"/>
              <w:right w:color="ffffff" w:space="0" w:sz="12" w:val="single"/>
            </w:tcBorders>
            <w:shd w:fill="995599" w:val="clear"/>
            <w:vAlign w:val="center"/>
          </w:tcPr>
          <w:p w:rsidR="00000000" w:rsidDel="00000000" w:rsidP="00000000" w:rsidRDefault="00000000" w:rsidRPr="00000000" w14:paraId="00000006">
            <w:pPr>
              <w:jc w:val="center"/>
              <w:rPr>
                <w:rFonts w:ascii="Palatino Linotype" w:cs="Palatino Linotype" w:eastAsia="Palatino Linotype" w:hAnsi="Palatino Linotype"/>
                <w:sz w:val="30"/>
                <w:szCs w:val="30"/>
              </w:rPr>
            </w:pPr>
            <w:r w:rsidDel="00000000" w:rsidR="00000000" w:rsidRPr="00000000">
              <w:rPr>
                <w:rFonts w:ascii="Palatino Linotype" w:cs="Palatino Linotype" w:eastAsia="Palatino Linotype" w:hAnsi="Palatino Linotype"/>
                <w:sz w:val="30"/>
                <w:szCs w:val="30"/>
                <w:rtl w:val="0"/>
              </w:rPr>
              <w:t xml:space="preserve">Temporalidad</w:t>
            </w:r>
          </w:p>
        </w:tc>
      </w:tr>
      <w:tr>
        <w:trPr>
          <w:cantSplit w:val="0"/>
          <w:trHeight w:val="1312" w:hRule="atLeast"/>
          <w:tblHeader w:val="0"/>
        </w:trPr>
        <w:tc>
          <w:tcPr>
            <w:vMerge w:val="restart"/>
            <w:shd w:fill="009999" w:val="cle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1. Estrategia</w:t>
            </w:r>
          </w:p>
        </w:tc>
        <w:tc>
          <w:tcPr>
            <w:shd w:fill="00c0bc" w:val="cle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Convenio de colaboración</w:t>
            </w:r>
            <w:r w:rsidDel="00000000" w:rsidR="00000000" w:rsidRPr="00000000">
              <w:rPr>
                <w:rtl w:val="0"/>
              </w:rPr>
            </w:r>
          </w:p>
        </w:tc>
        <w:tc>
          <w:tcPr>
            <w:shd w:fill="59d5c0" w:val="clear"/>
          </w:tcPr>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Firma de Convenio de colaboración que establece las obligaciones que adoptan cada una de las instituciones firmantes, la designación de las contrapartes que velarán por la operatividad del convenio, el plazo y vigencia del instrumento firmado</w:t>
            </w:r>
          </w:p>
        </w:tc>
        <w:tc>
          <w:tcPr>
            <w:shd w:fill="ccecff" w:val="clear"/>
            <w:vAlign w:val="center"/>
          </w:tcPr>
          <w:p w:rsidR="00000000" w:rsidDel="00000000" w:rsidP="00000000" w:rsidRDefault="00000000" w:rsidRPr="00000000" w14:paraId="0000000A">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mes</w:t>
            </w:r>
          </w:p>
        </w:tc>
      </w:tr>
      <w:tr>
        <w:trPr>
          <w:cantSplit w:val="0"/>
          <w:trHeight w:val="1657" w:hRule="atLeast"/>
          <w:tblHeader w:val="0"/>
        </w:trPr>
        <w:tc>
          <w:tcPr>
            <w:vMerge w:val="continue"/>
            <w:shd w:fill="009999"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Política de Transparencia y Acceso a la Información Publica</w:t>
            </w:r>
          </w:p>
        </w:tc>
        <w:tc>
          <w:tcPr>
            <w:shd w:fill="59d5c0" w:val="clear"/>
          </w:tcPr>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Elaborar Matriz de Identificación de Roles y Responsabilidades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Elaborar Lineamiento municipal que contiene la política de transparencia y acceso a información pública de la municipalidad</w:t>
            </w:r>
          </w:p>
        </w:tc>
        <w:tc>
          <w:tcPr>
            <w:shd w:fill="ccecff" w:val="clear"/>
            <w:vAlign w:val="center"/>
          </w:tcPr>
          <w:p w:rsidR="00000000" w:rsidDel="00000000" w:rsidP="00000000" w:rsidRDefault="00000000" w:rsidRPr="00000000" w14:paraId="00000010">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meses</w:t>
            </w:r>
          </w:p>
        </w:tc>
      </w:tr>
      <w:tr>
        <w:trPr>
          <w:cantSplit w:val="0"/>
          <w:trHeight w:val="972" w:hRule="atLeast"/>
          <w:tblHeader w:val="0"/>
        </w:trPr>
        <w:tc>
          <w:tcPr>
            <w:vMerge w:val="continue"/>
            <w:shd w:fill="009999"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Sistema de Integridad y Código de Ética</w:t>
            </w:r>
          </w:p>
          <w:p w:rsidR="00000000" w:rsidDel="00000000" w:rsidP="00000000" w:rsidRDefault="00000000" w:rsidRPr="00000000" w14:paraId="00000013">
            <w:pPr>
              <w:rPr>
                <w:rFonts w:ascii="Palatino Linotype" w:cs="Palatino Linotype" w:eastAsia="Palatino Linotype" w:hAnsi="Palatino Linotype"/>
              </w:rPr>
            </w:pPr>
            <w:r w:rsidDel="00000000" w:rsidR="00000000" w:rsidRPr="00000000">
              <w:rPr>
                <w:rtl w:val="0"/>
              </w:rPr>
            </w:r>
          </w:p>
        </w:tc>
        <w:tc>
          <w:tcPr>
            <w:shd w:fill="59d5c0" w:val="clear"/>
          </w:tcPr>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Diagnóstico para evaluación de ética en los municipios</w:t>
            </w:r>
          </w:p>
        </w:tc>
        <w:tc>
          <w:tcPr>
            <w:shd w:fill="ccecff" w:val="clear"/>
            <w:vAlign w:val="center"/>
          </w:tcPr>
          <w:p w:rsidR="00000000" w:rsidDel="00000000" w:rsidP="00000000" w:rsidRDefault="00000000" w:rsidRPr="00000000" w14:paraId="00000015">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6 meses</w:t>
            </w:r>
          </w:p>
        </w:tc>
      </w:tr>
      <w:tr>
        <w:trPr>
          <w:cantSplit w:val="0"/>
          <w:trHeight w:val="1100" w:hRule="atLeast"/>
          <w:tblHeader w:val="0"/>
        </w:trPr>
        <w:tc>
          <w:tcPr>
            <w:vMerge w:val="continue"/>
            <w:shd w:fill="009999"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17">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Planes y Proyectos de Transparencia</w:t>
            </w:r>
          </w:p>
        </w:tc>
        <w:tc>
          <w:tcPr>
            <w:shd w:fill="59d5c0" w:val="clear"/>
          </w:tcPr>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Elaborar y formalizar los planes de trabajo de los proyectos a implementar por el municipio para fortalecer la política de Transparencia y acceso a la información</w:t>
            </w:r>
          </w:p>
        </w:tc>
        <w:tc>
          <w:tcPr>
            <w:shd w:fill="ccecff" w:val="clear"/>
            <w:vAlign w:val="center"/>
          </w:tcPr>
          <w:p w:rsidR="00000000" w:rsidDel="00000000" w:rsidP="00000000" w:rsidRDefault="00000000" w:rsidRPr="00000000" w14:paraId="00000019">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Depende de la duración del proyecto</w:t>
            </w:r>
          </w:p>
          <w:p w:rsidR="00000000" w:rsidDel="00000000" w:rsidP="00000000" w:rsidRDefault="00000000" w:rsidRPr="00000000" w14:paraId="0000001A">
            <w:pPr>
              <w:jc w:val="center"/>
              <w:rPr>
                <w:rFonts w:ascii="Palatino Linotype" w:cs="Palatino Linotype" w:eastAsia="Palatino Linotype" w:hAnsi="Palatino Linotype"/>
              </w:rPr>
            </w:pPr>
            <w:r w:rsidDel="00000000" w:rsidR="00000000" w:rsidRPr="00000000">
              <w:rPr>
                <w:rtl w:val="0"/>
              </w:rPr>
            </w:r>
          </w:p>
        </w:tc>
      </w:tr>
      <w:tr>
        <w:trPr>
          <w:cantSplit w:val="0"/>
          <w:trHeight w:val="1089" w:hRule="atLeast"/>
          <w:tblHeader w:val="0"/>
        </w:trPr>
        <w:tc>
          <w:tcPr>
            <w:vMerge w:val="restart"/>
            <w:shd w:fill="009999"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2. Recursos</w:t>
            </w:r>
          </w:p>
        </w:tc>
        <w:tc>
          <w:tcPr>
            <w:shd w:fill="00c0bc" w:val="clear"/>
            <w:vAlign w:val="center"/>
          </w:tcPr>
          <w:p w:rsidR="00000000" w:rsidDel="00000000" w:rsidP="00000000" w:rsidRDefault="00000000" w:rsidRPr="00000000" w14:paraId="0000001C">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Perfiles de Cargo</w:t>
            </w:r>
          </w:p>
        </w:tc>
        <w:tc>
          <w:tcPr>
            <w:shd w:fill="59d5c0" w:val="clear"/>
          </w:tcPr>
          <w:p w:rsidR="00000000" w:rsidDel="00000000" w:rsidP="00000000" w:rsidRDefault="00000000" w:rsidRPr="00000000" w14:paraId="0000001D">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Identificar, definir y formalizar los roles de los funcionarios municipales involucrados en los procesos de Transparencia Municipal</w:t>
            </w:r>
          </w:p>
        </w:tc>
        <w:tc>
          <w:tcPr>
            <w:shd w:fill="ccecff" w:val="clear"/>
            <w:vAlign w:val="center"/>
          </w:tcPr>
          <w:p w:rsidR="00000000" w:rsidDel="00000000" w:rsidP="00000000" w:rsidRDefault="00000000" w:rsidRPr="00000000" w14:paraId="0000001E">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meses</w:t>
            </w:r>
          </w:p>
        </w:tc>
      </w:tr>
      <w:tr>
        <w:trPr>
          <w:cantSplit w:val="0"/>
          <w:trHeight w:val="917" w:hRule="atLeast"/>
          <w:tblHeader w:val="0"/>
        </w:trPr>
        <w:tc>
          <w:tcPr>
            <w:vMerge w:val="continue"/>
            <w:shd w:fill="009999"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2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Plan anual de capacitación interna para funcionarios municipales y ciudadanía</w:t>
            </w:r>
          </w:p>
        </w:tc>
        <w:tc>
          <w:tcPr>
            <w:shd w:fill="59d5c0" w:val="clear"/>
          </w:tcPr>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Fortalecer los procesos de formación del personal en los procesos del modelo de gestión de transparencia municipal</w:t>
            </w:r>
          </w:p>
        </w:tc>
        <w:tc>
          <w:tcPr>
            <w:shd w:fill="ccecff" w:val="clear"/>
            <w:vAlign w:val="center"/>
          </w:tcPr>
          <w:p w:rsidR="00000000" w:rsidDel="00000000" w:rsidP="00000000" w:rsidRDefault="00000000" w:rsidRPr="00000000" w14:paraId="00000022">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Anual</w:t>
            </w:r>
          </w:p>
        </w:tc>
      </w:tr>
      <w:tr>
        <w:trPr>
          <w:cantSplit w:val="0"/>
          <w:trHeight w:val="1243" w:hRule="atLeast"/>
          <w:tblHeader w:val="0"/>
        </w:trPr>
        <w:tc>
          <w:tcPr>
            <w:vMerge w:val="continue"/>
            <w:shd w:fill="009999"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24">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Diagnóstico de Infraestructura asignada a los procesos de transparencia</w:t>
            </w:r>
          </w:p>
        </w:tc>
        <w:tc>
          <w:tcPr>
            <w:shd w:fill="59d5c0" w:val="clear"/>
          </w:tcPr>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Elaborar autodiagnóstico en infraestructura tecnológica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Elaborar autodiagnóstico en infraestructura física</w:t>
            </w:r>
          </w:p>
        </w:tc>
        <w:tc>
          <w:tcPr>
            <w:shd w:fill="ccecff" w:val="clear"/>
            <w:vAlign w:val="center"/>
          </w:tcPr>
          <w:p w:rsidR="00000000" w:rsidDel="00000000" w:rsidP="00000000" w:rsidRDefault="00000000" w:rsidRPr="00000000" w14:paraId="00000028">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meses</w:t>
            </w:r>
          </w:p>
        </w:tc>
      </w:tr>
      <w:tr>
        <w:trPr>
          <w:cantSplit w:val="0"/>
          <w:trHeight w:val="395" w:hRule="atLeast"/>
          <w:tblHeader w:val="0"/>
        </w:trPr>
        <w:tc>
          <w:tcPr>
            <w:vMerge w:val="restart"/>
            <w:shd w:fill="009999"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3. Procesos</w:t>
            </w:r>
          </w:p>
        </w:tc>
        <w:tc>
          <w:tcPr>
            <w:shd w:fill="00c0bc" w:val="clear"/>
            <w:vAlign w:val="center"/>
          </w:tcPr>
          <w:p w:rsidR="00000000" w:rsidDel="00000000" w:rsidP="00000000" w:rsidRDefault="00000000" w:rsidRPr="00000000" w14:paraId="0000002A">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Formalización de Procesos</w:t>
            </w:r>
          </w:p>
        </w:tc>
        <w:tc>
          <w:tcPr>
            <w:shd w:fill="59d5c0" w:val="clear"/>
          </w:tcPr>
          <w:p w:rsidR="00000000" w:rsidDel="00000000" w:rsidP="00000000" w:rsidRDefault="00000000" w:rsidRPr="00000000" w14:paraId="0000002B">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Elaborar ficha de procesos</w:t>
            </w:r>
          </w:p>
        </w:tc>
        <w:tc>
          <w:tcPr>
            <w:shd w:fill="ccecff" w:val="clear"/>
            <w:vAlign w:val="center"/>
          </w:tcPr>
          <w:p w:rsidR="00000000" w:rsidDel="00000000" w:rsidP="00000000" w:rsidRDefault="00000000" w:rsidRPr="00000000" w14:paraId="0000002C">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6 meses</w:t>
            </w:r>
          </w:p>
        </w:tc>
      </w:tr>
      <w:tr>
        <w:trPr>
          <w:cantSplit w:val="0"/>
          <w:trHeight w:val="685" w:hRule="atLeast"/>
          <w:tblHeader w:val="0"/>
        </w:trPr>
        <w:tc>
          <w:tcPr>
            <w:vMerge w:val="continue"/>
            <w:shd w:fill="009999"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2E">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Diagnóstico en automatización de procesos</w:t>
            </w:r>
          </w:p>
        </w:tc>
        <w:tc>
          <w:tcPr>
            <w:shd w:fill="59d5c0" w:val="clear"/>
          </w:tcPr>
          <w:p w:rsidR="00000000" w:rsidDel="00000000" w:rsidP="00000000" w:rsidRDefault="00000000" w:rsidRPr="00000000" w14:paraId="0000002F">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Elaborar diagnóstico del nivel de automatización de procesos</w:t>
            </w:r>
          </w:p>
        </w:tc>
        <w:tc>
          <w:tcPr>
            <w:shd w:fill="ccecff" w:val="clear"/>
            <w:vAlign w:val="center"/>
          </w:tcPr>
          <w:p w:rsidR="00000000" w:rsidDel="00000000" w:rsidP="00000000" w:rsidRDefault="00000000" w:rsidRPr="00000000" w14:paraId="00000030">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meses</w:t>
            </w:r>
          </w:p>
        </w:tc>
      </w:tr>
      <w:tr>
        <w:trPr>
          <w:cantSplit w:val="0"/>
          <w:trHeight w:val="1375" w:hRule="atLeast"/>
          <w:tblHeader w:val="0"/>
        </w:trPr>
        <w:tc>
          <w:tcPr>
            <w:vMerge w:val="restart"/>
            <w:shd w:fill="009999"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4. Ciudadanía</w:t>
            </w:r>
          </w:p>
        </w:tc>
        <w:tc>
          <w:tcPr>
            <w:shd w:fill="00c0bc" w:val="clear"/>
            <w:vAlign w:val="center"/>
          </w:tcPr>
          <w:p w:rsidR="00000000" w:rsidDel="00000000" w:rsidP="00000000" w:rsidRDefault="00000000" w:rsidRPr="00000000" w14:paraId="0000003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Plan anual de difusión a la ciudadanía</w:t>
            </w:r>
          </w:p>
        </w:tc>
        <w:tc>
          <w:tcPr>
            <w:shd w:fill="59d5c0" w:val="clear"/>
          </w:tcPr>
          <w:p w:rsidR="00000000" w:rsidDel="00000000" w:rsidP="00000000" w:rsidRDefault="00000000" w:rsidRPr="00000000" w14:paraId="00000033">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Desarrollar un plan anual de difusión de la transparencia, el derecho de acceso a la información pública y prevención de la corrupción que contemple a las distintas audiencias identificadas y los canales más apropiados</w:t>
            </w:r>
          </w:p>
        </w:tc>
        <w:tc>
          <w:tcPr>
            <w:shd w:fill="ccecff" w:val="clear"/>
            <w:vAlign w:val="center"/>
          </w:tcPr>
          <w:p w:rsidR="00000000" w:rsidDel="00000000" w:rsidP="00000000" w:rsidRDefault="00000000" w:rsidRPr="00000000" w14:paraId="00000034">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meses</w:t>
            </w:r>
          </w:p>
        </w:tc>
      </w:tr>
      <w:tr>
        <w:trPr>
          <w:cantSplit w:val="0"/>
          <w:trHeight w:val="1382" w:hRule="atLeast"/>
          <w:tblHeader w:val="0"/>
        </w:trPr>
        <w:tc>
          <w:tcPr>
            <w:vMerge w:val="continue"/>
            <w:shd w:fill="009999"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36">
            <w:pPr>
              <w:rPr>
                <w:rFonts w:ascii="Palatino Linotype" w:cs="Palatino Linotype" w:eastAsia="Palatino Linotype" w:hAnsi="Palatino Linotype"/>
                <w:b w:val="1"/>
                <w:color w:val="ffffff"/>
              </w:rPr>
            </w:pPr>
            <w:r w:rsidDel="00000000" w:rsidR="00000000" w:rsidRPr="00000000">
              <w:rPr>
                <w:rFonts w:ascii="Palatino Linotype" w:cs="Palatino Linotype" w:eastAsia="Palatino Linotype" w:hAnsi="Palatino Linotype"/>
                <w:rtl w:val="0"/>
              </w:rPr>
              <w:t xml:space="preserve">Formalización de canales de atención</w:t>
            </w:r>
            <w:r w:rsidDel="00000000" w:rsidR="00000000" w:rsidRPr="00000000">
              <w:rPr>
                <w:rtl w:val="0"/>
              </w:rPr>
            </w:r>
          </w:p>
        </w:tc>
        <w:tc>
          <w:tcPr>
            <w:shd w:fill="59d5c0" w:val="clear"/>
          </w:tcPr>
          <w:p w:rsidR="00000000" w:rsidDel="00000000" w:rsidP="00000000" w:rsidRDefault="00000000" w:rsidRPr="00000000" w14:paraId="00000037">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Describir los canales para atención al ciudadano en los procesos de Solicitudes de Acceso a Información, referido a las distintas modalidades que la municipalidad tiene habilitados para el ejercicio del derecho</w:t>
            </w:r>
          </w:p>
        </w:tc>
        <w:tc>
          <w:tcPr>
            <w:shd w:fill="ccecff" w:val="clear"/>
            <w:vAlign w:val="center"/>
          </w:tcPr>
          <w:p w:rsidR="00000000" w:rsidDel="00000000" w:rsidP="00000000" w:rsidRDefault="00000000" w:rsidRPr="00000000" w14:paraId="00000038">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meses</w:t>
            </w:r>
          </w:p>
        </w:tc>
      </w:tr>
      <w:tr>
        <w:trPr>
          <w:cantSplit w:val="0"/>
          <w:trHeight w:val="1528" w:hRule="atLeast"/>
          <w:tblHeader w:val="0"/>
        </w:trPr>
        <w:tc>
          <w:tcPr>
            <w:vMerge w:val="continue"/>
            <w:shd w:fill="009999"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3A">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Transparencia proactiva</w:t>
            </w:r>
          </w:p>
        </w:tc>
        <w:tc>
          <w:tcPr>
            <w:shd w:fill="59d5c0" w:val="clear"/>
          </w:tcPr>
          <w:p w:rsidR="00000000" w:rsidDel="00000000" w:rsidP="00000000" w:rsidRDefault="00000000" w:rsidRPr="00000000" w14:paraId="0000003B">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Disponer en sitio web municipal información pública con valor social de forma permanente, cuyos contenidos y formatos sean definidos colaborativamente con la ciudadanía y que representa una mejora respecto de las obligaciones que impone la Ley de Transparencia en su componente de Transparencia Activa</w:t>
            </w:r>
          </w:p>
        </w:tc>
        <w:tc>
          <w:tcPr>
            <w:shd w:fill="ccecff" w:val="clear"/>
            <w:vAlign w:val="center"/>
          </w:tcPr>
          <w:p w:rsidR="00000000" w:rsidDel="00000000" w:rsidP="00000000" w:rsidRDefault="00000000" w:rsidRPr="00000000" w14:paraId="0000003C">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4 meses</w:t>
            </w:r>
          </w:p>
        </w:tc>
      </w:tr>
      <w:tr>
        <w:trPr>
          <w:cantSplit w:val="0"/>
          <w:trHeight w:val="1528" w:hRule="atLeast"/>
          <w:tblHeader w:val="0"/>
        </w:trPr>
        <w:tc>
          <w:tcPr>
            <w:vMerge w:val="continue"/>
            <w:shd w:fill="009999"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3E">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Política de Datos Abiertos</w:t>
            </w:r>
          </w:p>
        </w:tc>
        <w:tc>
          <w:tcPr>
            <w:shd w:fill="59d5c0" w:val="clear"/>
          </w:tcPr>
          <w:p w:rsidR="00000000" w:rsidDel="00000000" w:rsidP="00000000" w:rsidRDefault="00000000" w:rsidRPr="00000000" w14:paraId="0000003F">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Establecer las disposiciones que definen y regulan los mecanismos de acceso a los datos abiertos del municipio, garantizando pleno apego a las disposiciones normativas ya existentes en materia de acceso a información pública, rendición de cuentas, protección a los datos personales y seguridad de la información, entre otras</w:t>
            </w:r>
          </w:p>
        </w:tc>
        <w:tc>
          <w:tcPr>
            <w:shd w:fill="ccecff" w:val="clear"/>
            <w:vAlign w:val="center"/>
          </w:tcPr>
          <w:p w:rsidR="00000000" w:rsidDel="00000000" w:rsidP="00000000" w:rsidRDefault="00000000" w:rsidRPr="00000000" w14:paraId="00000040">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5 meses</w:t>
            </w:r>
          </w:p>
        </w:tc>
      </w:tr>
      <w:tr>
        <w:trPr>
          <w:cantSplit w:val="0"/>
          <w:trHeight w:val="390" w:hRule="atLeast"/>
          <w:tblHeader w:val="0"/>
        </w:trPr>
        <w:tc>
          <w:tcPr>
            <w:vMerge w:val="restart"/>
            <w:shd w:fill="009999" w:val="clear"/>
            <w:vAlign w:val="center"/>
          </w:tcPr>
          <w:p w:rsidR="00000000" w:rsidDel="00000000" w:rsidP="00000000" w:rsidRDefault="00000000" w:rsidRPr="00000000" w14:paraId="00000041">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5. Mejora continua</w:t>
            </w:r>
          </w:p>
        </w:tc>
        <w:tc>
          <w:tcPr>
            <w:shd w:fill="00c0bc" w:val="clear"/>
            <w:vAlign w:val="center"/>
          </w:tcPr>
          <w:p w:rsidR="00000000" w:rsidDel="00000000" w:rsidP="00000000" w:rsidRDefault="00000000" w:rsidRPr="00000000" w14:paraId="0000004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Encuesta de Satisfacción Usuaria</w:t>
            </w:r>
          </w:p>
        </w:tc>
        <w:tc>
          <w:tcPr>
            <w:shd w:fill="59d5c0" w:val="clear"/>
          </w:tcPr>
          <w:p w:rsidR="00000000" w:rsidDel="00000000" w:rsidP="00000000" w:rsidRDefault="00000000" w:rsidRPr="00000000" w14:paraId="00000043">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Elaborar evaluación de satisfacción usuaria</w:t>
            </w:r>
          </w:p>
        </w:tc>
        <w:tc>
          <w:tcPr>
            <w:shd w:fill="ccecff" w:val="clear"/>
            <w:vAlign w:val="center"/>
          </w:tcPr>
          <w:p w:rsidR="00000000" w:rsidDel="00000000" w:rsidP="00000000" w:rsidRDefault="00000000" w:rsidRPr="00000000" w14:paraId="00000044">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Anual</w:t>
            </w:r>
          </w:p>
        </w:tc>
      </w:tr>
      <w:tr>
        <w:trPr>
          <w:cantSplit w:val="0"/>
          <w:trHeight w:val="395" w:hRule="atLeast"/>
          <w:tblHeader w:val="0"/>
        </w:trPr>
        <w:tc>
          <w:tcPr>
            <w:vMerge w:val="continue"/>
            <w:shd w:fill="009999"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46">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Reporte de Indicadores de Desempeño</w:t>
            </w:r>
          </w:p>
        </w:tc>
        <w:tc>
          <w:tcPr>
            <w:shd w:fill="59d5c0" w:val="clear"/>
          </w:tcPr>
          <w:p w:rsidR="00000000" w:rsidDel="00000000" w:rsidP="00000000" w:rsidRDefault="00000000" w:rsidRPr="00000000" w14:paraId="00000047">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Realizar indicadores para los procesos de transparencia</w:t>
            </w:r>
          </w:p>
        </w:tc>
        <w:tc>
          <w:tcPr>
            <w:shd w:fill="ccecff" w:val="clear"/>
            <w:vAlign w:val="center"/>
          </w:tcPr>
          <w:p w:rsidR="00000000" w:rsidDel="00000000" w:rsidP="00000000" w:rsidRDefault="00000000" w:rsidRPr="00000000" w14:paraId="00000048">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3 meses</w:t>
            </w:r>
          </w:p>
        </w:tc>
      </w:tr>
      <w:tr>
        <w:trPr>
          <w:cantSplit w:val="0"/>
          <w:trHeight w:val="559" w:hRule="atLeast"/>
          <w:tblHeader w:val="0"/>
        </w:trPr>
        <w:tc>
          <w:tcPr>
            <w:vMerge w:val="continue"/>
            <w:shd w:fill="009999"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shd w:fill="00c0bc" w:val="clear"/>
            <w:vAlign w:val="center"/>
          </w:tcPr>
          <w:p w:rsidR="00000000" w:rsidDel="00000000" w:rsidP="00000000" w:rsidRDefault="00000000" w:rsidRPr="00000000" w14:paraId="0000004A">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Cuenta pública</w:t>
            </w:r>
          </w:p>
        </w:tc>
        <w:tc>
          <w:tcPr>
            <w:shd w:fill="59d5c0" w:val="clear"/>
          </w:tcPr>
          <w:p w:rsidR="00000000" w:rsidDel="00000000" w:rsidP="00000000" w:rsidRDefault="00000000" w:rsidRPr="00000000" w14:paraId="0000004B">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Elaborar evaluación del proceso de cuenta pública</w:t>
            </w:r>
          </w:p>
        </w:tc>
        <w:tc>
          <w:tcPr>
            <w:shd w:fill="ccecff" w:val="clear"/>
            <w:vAlign w:val="center"/>
          </w:tcPr>
          <w:p w:rsidR="00000000" w:rsidDel="00000000" w:rsidP="00000000" w:rsidRDefault="00000000" w:rsidRPr="00000000" w14:paraId="0000004C">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Anual</w:t>
            </w:r>
          </w:p>
        </w:tc>
      </w:tr>
    </w:tbl>
    <w:p w:rsidR="00000000" w:rsidDel="00000000" w:rsidP="00000000" w:rsidRDefault="00000000" w:rsidRPr="00000000" w14:paraId="0000004D">
      <w:pPr>
        <w:rPr>
          <w:rFonts w:ascii="Palatino Linotype" w:cs="Palatino Linotype" w:eastAsia="Palatino Linotype" w:hAnsi="Palatino Linotype"/>
          <w:i w:val="1"/>
          <w:sz w:val="16"/>
          <w:szCs w:val="16"/>
        </w:rPr>
      </w:pPr>
      <w:bookmarkStart w:colFirst="0" w:colLast="0" w:name="_heading=h.gjdgxs" w:id="0"/>
      <w:bookmarkEnd w:id="0"/>
      <w:r w:rsidDel="00000000" w:rsidR="00000000" w:rsidRPr="00000000">
        <w:rPr>
          <w:rFonts w:ascii="Palatino Linotype" w:cs="Palatino Linotype" w:eastAsia="Palatino Linotype" w:hAnsi="Palatino Linotype"/>
          <w:i w:val="1"/>
          <w:sz w:val="16"/>
          <w:szCs w:val="16"/>
          <w:rtl w:val="0"/>
        </w:rPr>
        <w:t xml:space="preserve">*La temporalidad señalada es de conformidad con el contenido del propio Modelo Regional de Transparencia Municipal. </w:t>
      </w:r>
    </w:p>
    <w:p w:rsidR="00000000" w:rsidDel="00000000" w:rsidP="00000000" w:rsidRDefault="00000000" w:rsidRPr="00000000" w14:paraId="0000004E">
      <w:pPr>
        <w:jc w:val="right"/>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tabs>
          <w:tab w:val="left" w:pos="2085"/>
        </w:tabs>
        <w:rPr/>
      </w:pPr>
      <w:r w:rsidDel="00000000" w:rsidR="00000000" w:rsidRPr="00000000">
        <w:rPr>
          <w:rtl w:val="0"/>
        </w:rPr>
        <w:tab/>
      </w:r>
    </w:p>
    <w:sectPr>
      <w:headerReference r:id="rId7" w:type="default"/>
      <w:pgSz w:h="12240" w:w="15840" w:orient="landscape"/>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-1069339</wp:posOffset>
          </wp:positionH>
          <wp:positionV relativeFrom="paragraph">
            <wp:posOffset>-438112</wp:posOffset>
          </wp:positionV>
          <wp:extent cx="7756263" cy="10101221"/>
          <wp:effectExtent b="0" l="0" r="0" t="0"/>
          <wp:wrapNone/>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56263" cy="10101221"/>
                  </a:xfrm>
                  <a:prstGeom prst="rect"/>
                  <a:ln/>
                </pic:spPr>
              </pic:pic>
            </a:graphicData>
          </a:graphic>
        </wp:anchor>
      </w:drawing>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101600</wp:posOffset>
              </wp:positionV>
              <wp:extent cx="4695825" cy="317256"/>
              <wp:effectExtent b="0" l="0" r="0" t="0"/>
              <wp:wrapNone/>
              <wp:docPr id="3" name=""/>
              <a:graphic>
                <a:graphicData uri="http://schemas.microsoft.com/office/word/2010/wordprocessingShape">
                  <wps:wsp>
                    <wps:cNvSpPr/>
                    <wps:cNvPr id="2" name="Shape 2"/>
                    <wps:spPr>
                      <a:xfrm>
                        <a:off x="3002850" y="3626135"/>
                        <a:ext cx="4686300" cy="307731"/>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6"/>
                              <w:highlight w:val="white"/>
                              <w:vertAlign w:val="baseline"/>
                            </w:rPr>
                            <w:t xml:space="preserve">“2022. Año del Quincentenario de Toluca, Capital del Estado de México”.</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000000"/>
                              <w:sz w:val="18"/>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101600</wp:posOffset>
              </wp:positionV>
              <wp:extent cx="4695825" cy="317256"/>
              <wp:effectExtent b="0" l="0" r="0" t="0"/>
              <wp:wrapNone/>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695825" cy="317256"/>
                      </a:xfrm>
                      <a:prstGeom prst="rect"/>
                      <a:ln/>
                    </pic:spPr>
                  </pic:pic>
                </a:graphicData>
              </a:graphic>
            </wp:anchor>
          </w:drawing>
        </mc:Fallback>
      </mc:AlternateConten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1301DE"/>
    <w:rPr>
      <w:rFonts w:ascii="Times New Roman" w:cs="Times New Roman" w:eastAsia="Times New Roman" w:hAnsi="Times New Roman"/>
      <w:lang w:eastAsia="es-MX"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E0856"/>
    <w:pPr>
      <w:tabs>
        <w:tab w:val="center" w:pos="4419"/>
        <w:tab w:val="right" w:pos="8838"/>
      </w:tabs>
    </w:pPr>
    <w:rPr>
      <w:rFonts w:asciiTheme="minorHAnsi" w:cstheme="minorBidi" w:eastAsiaTheme="minorHAnsi" w:hAnsiTheme="minorHAnsi"/>
      <w:lang w:eastAsia="en-US" w:val="es-MX"/>
    </w:rPr>
  </w:style>
  <w:style w:type="character" w:styleId="EncabezadoCar" w:customStyle="1">
    <w:name w:val="Encabezado Car"/>
    <w:basedOn w:val="Fuentedeprrafopredeter"/>
    <w:link w:val="Encabezado"/>
    <w:uiPriority w:val="99"/>
    <w:rsid w:val="00DE0856"/>
  </w:style>
  <w:style w:type="paragraph" w:styleId="Piedepgina">
    <w:name w:val="footer"/>
    <w:basedOn w:val="Normal"/>
    <w:link w:val="PiedepginaCar"/>
    <w:uiPriority w:val="99"/>
    <w:unhideWhenUsed w:val="1"/>
    <w:rsid w:val="00DE0856"/>
    <w:pPr>
      <w:tabs>
        <w:tab w:val="center" w:pos="4419"/>
        <w:tab w:val="right" w:pos="8838"/>
      </w:tabs>
    </w:pPr>
    <w:rPr>
      <w:rFonts w:asciiTheme="minorHAnsi" w:cstheme="minorBidi" w:eastAsiaTheme="minorHAnsi" w:hAnsiTheme="minorHAnsi"/>
      <w:lang w:eastAsia="en-US" w:val="es-MX"/>
    </w:rPr>
  </w:style>
  <w:style w:type="character" w:styleId="PiedepginaCar" w:customStyle="1">
    <w:name w:val="Pie de página Car"/>
    <w:basedOn w:val="Fuentedeprrafopredeter"/>
    <w:link w:val="Piedepgina"/>
    <w:uiPriority w:val="99"/>
    <w:rsid w:val="00DE0856"/>
  </w:style>
  <w:style w:type="paragraph" w:styleId="Prrafodelista">
    <w:name w:val="List Paragraph"/>
    <w:basedOn w:val="Normal"/>
    <w:uiPriority w:val="34"/>
    <w:qFormat w:val="1"/>
    <w:rsid w:val="00492DAC"/>
    <w:pPr>
      <w:ind w:left="720"/>
      <w:contextualSpacing w:val="1"/>
    </w:pPr>
  </w:style>
  <w:style w:type="paragraph" w:styleId="NormalWeb">
    <w:name w:val="Normal (Web)"/>
    <w:basedOn w:val="Normal"/>
    <w:uiPriority w:val="99"/>
    <w:unhideWhenUsed w:val="1"/>
    <w:rsid w:val="00E20370"/>
    <w:pPr>
      <w:spacing w:after="100" w:afterAutospacing="1" w:before="100" w:beforeAutospacing="1"/>
    </w:pPr>
    <w:rPr>
      <w:lang w:val="es-MX"/>
    </w:rPr>
  </w:style>
  <w:style w:type="character" w:styleId="Hipervnculo">
    <w:name w:val="Hyperlink"/>
    <w:basedOn w:val="Fuentedeprrafopredeter"/>
    <w:uiPriority w:val="99"/>
    <w:unhideWhenUsed w:val="1"/>
    <w:rsid w:val="00E20370"/>
    <w:rPr>
      <w:color w:val="0563c1" w:themeColor="hyperlink"/>
      <w:u w:val="single"/>
    </w:rPr>
  </w:style>
  <w:style w:type="table" w:styleId="Tabladecuadrcula5oscura-nfasis1">
    <w:name w:val="Grid Table 5 Dark Accent 1"/>
    <w:basedOn w:val="Tablanormal"/>
    <w:uiPriority w:val="50"/>
    <w:rsid w:val="00C37236"/>
    <w:rPr>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15.0" w:type="dxa"/>
        <w:bottom w:w="0.0" w:type="dxa"/>
        <w:right w:w="115.0" w:type="dxa"/>
      </w:tblCellMar>
    </w:tblPr>
    <w:tcPr>
      <w:shd w:fill="d9e2f3" w:val="clear"/>
    </w:tcPr>
    <w:tblStylePr w:type="band1Horz">
      <w:tcPr>
        <w:shd w:fill="b4c6e7" w:val="clear"/>
      </w:tcPr>
    </w:tblStylePr>
    <w:tblStylePr w:type="band1Vert">
      <w:tcPr>
        <w:shd w:fill="b4c6e7"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472c4"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472c4"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472c4"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472c4"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i3Lbc6tmI60HXun6amuap/V/Fw==">AMUW2mXBA/7W508TtlRUO/huK9infnt3+4RD4Aupc/G9gT9ds+lhmNOV5dRoRpIqnzVQLXHtgrNLYgqgod7Axd7veQVPrsF0DbuyhElT8TY1oq5MRA/zp1WQAGPDP3+CG4N4A/JZnZ1E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2022-05-30T23:20:00Z</dcterms:created>
  <dc:creator>Microsoft Office User</dc:creator>
</cp:coreProperties>
</file>