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17BDA" w14:textId="791B1031" w:rsidR="00790E00" w:rsidRPr="00281A4E" w:rsidRDefault="00790E00" w:rsidP="0056235C">
      <w:pPr>
        <w:autoSpaceDE w:val="0"/>
        <w:autoSpaceDN w:val="0"/>
        <w:adjustRightInd w:val="0"/>
        <w:spacing w:after="0" w:line="360" w:lineRule="auto"/>
        <w:jc w:val="center"/>
        <w:rPr>
          <w:rFonts w:ascii="Arial" w:hAnsi="Arial" w:cs="Arial"/>
          <w:b/>
          <w:bCs/>
          <w:color w:val="000000"/>
          <w:sz w:val="24"/>
          <w:szCs w:val="24"/>
        </w:rPr>
      </w:pPr>
      <w:bookmarkStart w:id="0" w:name="_GoBack"/>
      <w:bookmarkEnd w:id="0"/>
      <w:r w:rsidRPr="00281A4E">
        <w:rPr>
          <w:rFonts w:ascii="Arial" w:hAnsi="Arial" w:cs="Arial"/>
          <w:b/>
          <w:bCs/>
          <w:color w:val="000000"/>
          <w:sz w:val="24"/>
          <w:szCs w:val="24"/>
        </w:rPr>
        <w:t>COMUNICADO DE LA COMISIÓN DE REND</w:t>
      </w:r>
      <w:r w:rsidR="009D637E" w:rsidRPr="00281A4E">
        <w:rPr>
          <w:rFonts w:ascii="Arial" w:hAnsi="Arial" w:cs="Arial"/>
          <w:b/>
          <w:bCs/>
          <w:color w:val="000000"/>
          <w:sz w:val="24"/>
          <w:szCs w:val="24"/>
        </w:rPr>
        <w:t>I</w:t>
      </w:r>
      <w:r w:rsidRPr="00281A4E">
        <w:rPr>
          <w:rFonts w:ascii="Arial" w:hAnsi="Arial" w:cs="Arial"/>
          <w:b/>
          <w:bCs/>
          <w:color w:val="000000"/>
          <w:sz w:val="24"/>
          <w:szCs w:val="24"/>
        </w:rPr>
        <w:t>CIÓN DE CUENTAS</w:t>
      </w:r>
    </w:p>
    <w:p w14:paraId="7FD0E9EF" w14:textId="281D5EF3" w:rsidR="00C05BE2" w:rsidRPr="00281A4E" w:rsidRDefault="009D637E" w:rsidP="0056235C">
      <w:pPr>
        <w:autoSpaceDE w:val="0"/>
        <w:autoSpaceDN w:val="0"/>
        <w:adjustRightInd w:val="0"/>
        <w:spacing w:after="0" w:line="360" w:lineRule="auto"/>
        <w:jc w:val="center"/>
        <w:rPr>
          <w:rFonts w:ascii="Arial" w:hAnsi="Arial" w:cs="Arial"/>
          <w:b/>
          <w:bCs/>
          <w:color w:val="000000"/>
          <w:sz w:val="24"/>
          <w:szCs w:val="24"/>
        </w:rPr>
      </w:pPr>
      <w:r w:rsidRPr="00281A4E">
        <w:rPr>
          <w:rFonts w:ascii="Arial" w:hAnsi="Arial" w:cs="Arial"/>
          <w:b/>
          <w:bCs/>
          <w:color w:val="000000"/>
          <w:sz w:val="24"/>
          <w:szCs w:val="24"/>
        </w:rPr>
        <w:t>DEL SISTEMA NACIONAL DE TRANSPARENCIA, AC</w:t>
      </w:r>
      <w:r w:rsidR="00790E00" w:rsidRPr="00281A4E">
        <w:rPr>
          <w:rFonts w:ascii="Arial" w:hAnsi="Arial" w:cs="Arial"/>
          <w:b/>
          <w:bCs/>
          <w:color w:val="000000"/>
          <w:sz w:val="24"/>
          <w:szCs w:val="24"/>
        </w:rPr>
        <w:t>CESO A LA INFORMACIÓN PÚBLICA Y PROTECCIÓN DE DATOS PERSONALES</w:t>
      </w:r>
    </w:p>
    <w:p w14:paraId="22F659A6" w14:textId="6BCE0D8F" w:rsidR="0039202C" w:rsidRPr="00281A4E" w:rsidRDefault="0039202C" w:rsidP="0056235C">
      <w:pPr>
        <w:autoSpaceDE w:val="0"/>
        <w:autoSpaceDN w:val="0"/>
        <w:adjustRightInd w:val="0"/>
        <w:spacing w:after="0" w:line="360" w:lineRule="auto"/>
        <w:jc w:val="both"/>
        <w:rPr>
          <w:rFonts w:ascii="Arial" w:hAnsi="Arial" w:cs="Arial"/>
          <w:color w:val="000000"/>
          <w:sz w:val="24"/>
          <w:szCs w:val="24"/>
        </w:rPr>
      </w:pPr>
    </w:p>
    <w:p w14:paraId="19809A81" w14:textId="5BBCC73F" w:rsidR="00790E00" w:rsidRPr="00281A4E" w:rsidRDefault="00790E00" w:rsidP="0056235C">
      <w:pPr>
        <w:autoSpaceDE w:val="0"/>
        <w:autoSpaceDN w:val="0"/>
        <w:adjustRightInd w:val="0"/>
        <w:spacing w:after="0" w:line="360" w:lineRule="auto"/>
        <w:jc w:val="both"/>
        <w:rPr>
          <w:rFonts w:ascii="Arial" w:hAnsi="Arial" w:cs="Arial"/>
          <w:color w:val="000000"/>
          <w:sz w:val="24"/>
          <w:szCs w:val="24"/>
        </w:rPr>
      </w:pPr>
      <w:r w:rsidRPr="00281A4E">
        <w:rPr>
          <w:rFonts w:ascii="Arial" w:hAnsi="Arial" w:cs="Arial"/>
          <w:color w:val="000000"/>
          <w:sz w:val="24"/>
          <w:szCs w:val="24"/>
        </w:rPr>
        <w:t xml:space="preserve">El Sistema Nacional de Transparencia, Acceso a la Información Pública y Protección de Datos Personales (SNT), a través de su Comisión de Rendición de Cuentas, </w:t>
      </w:r>
      <w:r w:rsidR="006C7AD2" w:rsidRPr="00281A4E">
        <w:rPr>
          <w:rFonts w:ascii="Arial" w:hAnsi="Arial" w:cs="Arial"/>
          <w:color w:val="000000"/>
          <w:sz w:val="24"/>
          <w:szCs w:val="24"/>
        </w:rPr>
        <w:t xml:space="preserve">elaboró el presente documento con el propósito </w:t>
      </w:r>
      <w:r w:rsidRPr="00281A4E">
        <w:rPr>
          <w:rFonts w:ascii="Arial" w:hAnsi="Arial" w:cs="Arial"/>
          <w:color w:val="000000"/>
          <w:sz w:val="24"/>
          <w:szCs w:val="24"/>
        </w:rPr>
        <w:t xml:space="preserve">de fortalecer </w:t>
      </w:r>
      <w:r w:rsidR="006C7AD2" w:rsidRPr="00281A4E">
        <w:rPr>
          <w:rFonts w:ascii="Arial" w:hAnsi="Arial" w:cs="Arial"/>
          <w:color w:val="000000"/>
          <w:sz w:val="24"/>
          <w:szCs w:val="24"/>
        </w:rPr>
        <w:t xml:space="preserve">los sistemas de transparencia, </w:t>
      </w:r>
      <w:r w:rsidR="00534B1E" w:rsidRPr="00281A4E">
        <w:rPr>
          <w:rFonts w:ascii="Arial" w:hAnsi="Arial" w:cs="Arial"/>
          <w:color w:val="000000"/>
          <w:sz w:val="24"/>
          <w:szCs w:val="24"/>
        </w:rPr>
        <w:t>rendición de cuentas y comba</w:t>
      </w:r>
      <w:r w:rsidR="00C40582" w:rsidRPr="00281A4E">
        <w:rPr>
          <w:rFonts w:ascii="Arial" w:hAnsi="Arial" w:cs="Arial"/>
          <w:color w:val="000000"/>
          <w:sz w:val="24"/>
          <w:szCs w:val="24"/>
        </w:rPr>
        <w:t>te a la corrupción de</w:t>
      </w:r>
      <w:r w:rsidR="00534B1E" w:rsidRPr="00281A4E">
        <w:rPr>
          <w:rFonts w:ascii="Arial" w:hAnsi="Arial" w:cs="Arial"/>
          <w:color w:val="000000"/>
          <w:sz w:val="24"/>
          <w:szCs w:val="24"/>
        </w:rPr>
        <w:t xml:space="preserve"> todos los Sujetos Obligados del país</w:t>
      </w:r>
      <w:r w:rsidR="006C7AD2" w:rsidRPr="00281A4E">
        <w:rPr>
          <w:rFonts w:ascii="Arial" w:hAnsi="Arial" w:cs="Arial"/>
          <w:color w:val="000000"/>
          <w:sz w:val="24"/>
          <w:szCs w:val="24"/>
        </w:rPr>
        <w:t>,</w:t>
      </w:r>
      <w:r w:rsidR="00534B1E" w:rsidRPr="00281A4E">
        <w:rPr>
          <w:rFonts w:ascii="Arial" w:hAnsi="Arial" w:cs="Arial"/>
          <w:color w:val="000000"/>
          <w:sz w:val="24"/>
          <w:szCs w:val="24"/>
        </w:rPr>
        <w:t xml:space="preserve"> ante la actual </w:t>
      </w:r>
      <w:r w:rsidRPr="00281A4E">
        <w:rPr>
          <w:rFonts w:ascii="Arial" w:hAnsi="Arial" w:cs="Arial"/>
          <w:color w:val="000000"/>
          <w:sz w:val="24"/>
          <w:szCs w:val="24"/>
        </w:rPr>
        <w:t>emergencia sanitar</w:t>
      </w:r>
      <w:r w:rsidR="00CF479C" w:rsidRPr="00281A4E">
        <w:rPr>
          <w:rFonts w:ascii="Arial" w:hAnsi="Arial" w:cs="Arial"/>
          <w:color w:val="000000"/>
          <w:sz w:val="24"/>
          <w:szCs w:val="24"/>
        </w:rPr>
        <w:t>ia ocasionada por el COVID</w:t>
      </w:r>
      <w:r w:rsidRPr="00281A4E">
        <w:rPr>
          <w:rFonts w:ascii="Arial" w:hAnsi="Arial" w:cs="Arial"/>
          <w:color w:val="000000"/>
          <w:sz w:val="24"/>
          <w:szCs w:val="24"/>
        </w:rPr>
        <w:t>-19.</w:t>
      </w:r>
    </w:p>
    <w:p w14:paraId="73686D5B" w14:textId="77777777" w:rsidR="00790E00" w:rsidRPr="00281A4E" w:rsidRDefault="00790E00" w:rsidP="0056235C">
      <w:pPr>
        <w:autoSpaceDE w:val="0"/>
        <w:autoSpaceDN w:val="0"/>
        <w:adjustRightInd w:val="0"/>
        <w:spacing w:after="0" w:line="360" w:lineRule="auto"/>
        <w:jc w:val="both"/>
        <w:rPr>
          <w:rFonts w:ascii="Arial" w:hAnsi="Arial" w:cs="Arial"/>
          <w:color w:val="000000"/>
          <w:sz w:val="24"/>
          <w:szCs w:val="24"/>
        </w:rPr>
      </w:pPr>
    </w:p>
    <w:p w14:paraId="0978DC44" w14:textId="042723A6" w:rsidR="00333D56" w:rsidRPr="00281A4E" w:rsidRDefault="00790E00" w:rsidP="0056235C">
      <w:pPr>
        <w:autoSpaceDE w:val="0"/>
        <w:autoSpaceDN w:val="0"/>
        <w:adjustRightInd w:val="0"/>
        <w:spacing w:after="0" w:line="360" w:lineRule="auto"/>
        <w:jc w:val="both"/>
        <w:rPr>
          <w:rFonts w:ascii="Arial" w:hAnsi="Arial" w:cs="Arial"/>
          <w:color w:val="000000"/>
          <w:sz w:val="24"/>
          <w:szCs w:val="24"/>
        </w:rPr>
      </w:pPr>
      <w:r w:rsidRPr="00281A4E">
        <w:rPr>
          <w:rFonts w:ascii="Arial" w:hAnsi="Arial" w:cs="Arial"/>
          <w:color w:val="000000"/>
          <w:sz w:val="24"/>
          <w:szCs w:val="24"/>
        </w:rPr>
        <w:t>Durante su Primera Sesión Extraordinaria</w:t>
      </w:r>
      <w:r w:rsidR="009D637E" w:rsidRPr="00281A4E">
        <w:rPr>
          <w:rFonts w:ascii="Arial" w:hAnsi="Arial" w:cs="Arial"/>
          <w:color w:val="000000"/>
          <w:sz w:val="24"/>
          <w:szCs w:val="24"/>
        </w:rPr>
        <w:t xml:space="preserve"> 2020</w:t>
      </w:r>
      <w:r w:rsidRPr="00281A4E">
        <w:rPr>
          <w:rFonts w:ascii="Arial" w:hAnsi="Arial" w:cs="Arial"/>
          <w:color w:val="000000"/>
          <w:sz w:val="24"/>
          <w:szCs w:val="24"/>
        </w:rPr>
        <w:t xml:space="preserve">, misma que se realizó de forma virtual, y en apego </w:t>
      </w:r>
      <w:r w:rsidR="00760E56" w:rsidRPr="00281A4E">
        <w:rPr>
          <w:rFonts w:ascii="Arial" w:hAnsi="Arial" w:cs="Arial"/>
          <w:color w:val="000000"/>
          <w:sz w:val="24"/>
          <w:szCs w:val="24"/>
        </w:rPr>
        <w:t>a la recomendación segunda del C</w:t>
      </w:r>
      <w:r w:rsidRPr="00281A4E">
        <w:rPr>
          <w:rFonts w:ascii="Arial" w:hAnsi="Arial" w:cs="Arial"/>
          <w:color w:val="000000"/>
          <w:sz w:val="24"/>
          <w:szCs w:val="24"/>
        </w:rPr>
        <w:t xml:space="preserve">omunicado del Sistema Nacional de Transparencia del día 29 de abril del presente, esta Comisión hace un llamado a los Sujetos Obligados para que cumplan con las obligaciones de transparencia en relación con el gasto público </w:t>
      </w:r>
      <w:r w:rsidR="009D637E" w:rsidRPr="00281A4E">
        <w:rPr>
          <w:rFonts w:ascii="Arial" w:hAnsi="Arial" w:cs="Arial"/>
          <w:color w:val="000000"/>
          <w:sz w:val="24"/>
          <w:szCs w:val="24"/>
        </w:rPr>
        <w:t>utilizado durante la pandemia. Adicionalmente, s</w:t>
      </w:r>
      <w:r w:rsidRPr="00281A4E">
        <w:rPr>
          <w:rFonts w:ascii="Arial" w:hAnsi="Arial" w:cs="Arial"/>
          <w:color w:val="000000"/>
          <w:sz w:val="24"/>
          <w:szCs w:val="24"/>
        </w:rPr>
        <w:t>e propone la implementación de buenas prácticas para que, de acuerdo con cada normatividad estatal, se rindan cuentas sobre el manejo de los recursos públicos. Por tal motivo, esta Comisión emite las siguientes</w:t>
      </w:r>
    </w:p>
    <w:p w14:paraId="09D43C7C" w14:textId="77777777" w:rsidR="00333D56" w:rsidRPr="00281A4E" w:rsidRDefault="00333D56" w:rsidP="0056235C">
      <w:pPr>
        <w:autoSpaceDE w:val="0"/>
        <w:autoSpaceDN w:val="0"/>
        <w:adjustRightInd w:val="0"/>
        <w:spacing w:after="0" w:line="360" w:lineRule="auto"/>
        <w:jc w:val="both"/>
        <w:rPr>
          <w:rFonts w:ascii="Arial" w:hAnsi="Arial" w:cs="Arial"/>
          <w:color w:val="000000"/>
          <w:sz w:val="24"/>
          <w:szCs w:val="24"/>
        </w:rPr>
      </w:pPr>
    </w:p>
    <w:p w14:paraId="3B31AA2D" w14:textId="4A387282" w:rsidR="002C3CDA" w:rsidRPr="00281A4E" w:rsidRDefault="00790E00" w:rsidP="0056235C">
      <w:pPr>
        <w:autoSpaceDE w:val="0"/>
        <w:autoSpaceDN w:val="0"/>
        <w:adjustRightInd w:val="0"/>
        <w:spacing w:after="0" w:line="360" w:lineRule="auto"/>
        <w:jc w:val="center"/>
        <w:rPr>
          <w:rFonts w:ascii="Arial" w:hAnsi="Arial" w:cs="Arial"/>
          <w:b/>
          <w:color w:val="000000"/>
          <w:sz w:val="24"/>
          <w:szCs w:val="24"/>
        </w:rPr>
      </w:pPr>
      <w:r w:rsidRPr="00281A4E">
        <w:rPr>
          <w:rFonts w:ascii="Arial" w:hAnsi="Arial" w:cs="Arial"/>
          <w:b/>
          <w:color w:val="000000"/>
          <w:sz w:val="24"/>
          <w:szCs w:val="24"/>
        </w:rPr>
        <w:t>R E C O M E N D A C I O N E S</w:t>
      </w:r>
    </w:p>
    <w:p w14:paraId="1D169C5E" w14:textId="0CE0B7F7" w:rsidR="00C1614B" w:rsidRPr="00281A4E" w:rsidRDefault="00C1614B" w:rsidP="0056235C">
      <w:pPr>
        <w:autoSpaceDE w:val="0"/>
        <w:autoSpaceDN w:val="0"/>
        <w:adjustRightInd w:val="0"/>
        <w:spacing w:after="0" w:line="360" w:lineRule="auto"/>
        <w:jc w:val="both"/>
        <w:rPr>
          <w:rFonts w:ascii="Arial" w:hAnsi="Arial" w:cs="Arial"/>
          <w:color w:val="000000"/>
          <w:sz w:val="24"/>
          <w:szCs w:val="24"/>
        </w:rPr>
      </w:pPr>
    </w:p>
    <w:p w14:paraId="6CAD5148" w14:textId="1C30B468" w:rsidR="008F02FC" w:rsidRPr="00281A4E" w:rsidRDefault="00534B1E" w:rsidP="0056235C">
      <w:pPr>
        <w:autoSpaceDE w:val="0"/>
        <w:autoSpaceDN w:val="0"/>
        <w:adjustRightInd w:val="0"/>
        <w:spacing w:after="0" w:line="360" w:lineRule="auto"/>
        <w:jc w:val="both"/>
        <w:rPr>
          <w:rFonts w:ascii="Arial" w:hAnsi="Arial" w:cs="Arial"/>
          <w:color w:val="000000"/>
          <w:sz w:val="24"/>
          <w:szCs w:val="24"/>
        </w:rPr>
      </w:pPr>
      <w:r w:rsidRPr="00281A4E">
        <w:rPr>
          <w:rFonts w:ascii="Arial" w:hAnsi="Arial" w:cs="Arial"/>
          <w:b/>
          <w:color w:val="000000"/>
          <w:sz w:val="24"/>
          <w:szCs w:val="24"/>
        </w:rPr>
        <w:t xml:space="preserve">Primera. </w:t>
      </w:r>
      <w:r w:rsidR="00027106" w:rsidRPr="00281A4E">
        <w:rPr>
          <w:rFonts w:ascii="Arial" w:hAnsi="Arial" w:cs="Arial"/>
          <w:color w:val="000000"/>
          <w:sz w:val="24"/>
          <w:szCs w:val="24"/>
        </w:rPr>
        <w:t>Generar y difundir</w:t>
      </w:r>
      <w:r w:rsidR="008F02FC" w:rsidRPr="00281A4E">
        <w:rPr>
          <w:rFonts w:ascii="Arial" w:hAnsi="Arial" w:cs="Arial"/>
          <w:color w:val="000000"/>
          <w:sz w:val="24"/>
          <w:szCs w:val="24"/>
        </w:rPr>
        <w:t xml:space="preserve"> información pública, derivada del cumplimiento de sus funciones y del ejercicio de sus atribuciones, relacionadas con el tema de la emergencia sanitaria COVID-19, y </w:t>
      </w:r>
      <w:r w:rsidR="00E77AB2" w:rsidRPr="00281A4E">
        <w:rPr>
          <w:rFonts w:ascii="Arial" w:hAnsi="Arial" w:cs="Arial"/>
          <w:color w:val="000000"/>
          <w:sz w:val="24"/>
          <w:szCs w:val="24"/>
        </w:rPr>
        <w:t xml:space="preserve">de manera útil, accesible, oportuna y proactiva </w:t>
      </w:r>
      <w:r w:rsidR="00027106" w:rsidRPr="00281A4E">
        <w:rPr>
          <w:rFonts w:ascii="Arial" w:hAnsi="Arial" w:cs="Arial"/>
          <w:color w:val="000000"/>
          <w:sz w:val="24"/>
          <w:szCs w:val="24"/>
        </w:rPr>
        <w:t>alimentar</w:t>
      </w:r>
      <w:r w:rsidR="00E77AB2" w:rsidRPr="00281A4E">
        <w:rPr>
          <w:rFonts w:ascii="Arial" w:hAnsi="Arial" w:cs="Arial"/>
          <w:color w:val="000000"/>
          <w:sz w:val="24"/>
          <w:szCs w:val="24"/>
        </w:rPr>
        <w:t xml:space="preserve"> </w:t>
      </w:r>
      <w:r w:rsidR="008F02FC" w:rsidRPr="00281A4E">
        <w:rPr>
          <w:rFonts w:ascii="Arial" w:hAnsi="Arial" w:cs="Arial"/>
          <w:color w:val="000000"/>
          <w:sz w:val="24"/>
          <w:szCs w:val="24"/>
        </w:rPr>
        <w:t>sus portales de internet y cuentas de redes sociales oficiales.</w:t>
      </w:r>
    </w:p>
    <w:p w14:paraId="39557CD9" w14:textId="77777777" w:rsidR="00E77AB2" w:rsidRPr="00281A4E" w:rsidRDefault="00E77AB2" w:rsidP="0056235C">
      <w:pPr>
        <w:autoSpaceDE w:val="0"/>
        <w:autoSpaceDN w:val="0"/>
        <w:adjustRightInd w:val="0"/>
        <w:spacing w:after="0" w:line="360" w:lineRule="auto"/>
        <w:jc w:val="both"/>
        <w:rPr>
          <w:rFonts w:ascii="Arial" w:hAnsi="Arial" w:cs="Arial"/>
          <w:color w:val="000000"/>
          <w:sz w:val="24"/>
          <w:szCs w:val="24"/>
        </w:rPr>
      </w:pPr>
    </w:p>
    <w:p w14:paraId="7FC6B6BC" w14:textId="72EF8E1E" w:rsidR="006C7AD2" w:rsidRPr="00281A4E" w:rsidRDefault="000E0488" w:rsidP="0056235C">
      <w:pPr>
        <w:autoSpaceDE w:val="0"/>
        <w:autoSpaceDN w:val="0"/>
        <w:adjustRightInd w:val="0"/>
        <w:spacing w:after="0" w:line="360" w:lineRule="auto"/>
        <w:jc w:val="both"/>
        <w:rPr>
          <w:rFonts w:ascii="Arial" w:hAnsi="Arial" w:cs="Arial"/>
          <w:color w:val="000000"/>
          <w:sz w:val="24"/>
          <w:szCs w:val="24"/>
        </w:rPr>
      </w:pPr>
      <w:r w:rsidRPr="00281A4E">
        <w:rPr>
          <w:rFonts w:ascii="Arial" w:hAnsi="Arial" w:cs="Arial"/>
          <w:b/>
          <w:color w:val="000000"/>
          <w:sz w:val="24"/>
          <w:szCs w:val="24"/>
        </w:rPr>
        <w:lastRenderedPageBreak/>
        <w:t xml:space="preserve">Segunda. </w:t>
      </w:r>
      <w:r w:rsidR="0073159C" w:rsidRPr="00281A4E">
        <w:rPr>
          <w:rFonts w:ascii="Arial" w:hAnsi="Arial" w:cs="Arial"/>
          <w:color w:val="000000"/>
          <w:sz w:val="24"/>
          <w:szCs w:val="24"/>
        </w:rPr>
        <w:t>Informar</w:t>
      </w:r>
      <w:r w:rsidR="008F02FC" w:rsidRPr="00281A4E">
        <w:rPr>
          <w:rFonts w:ascii="Arial" w:hAnsi="Arial" w:cs="Arial"/>
          <w:color w:val="000000"/>
          <w:sz w:val="24"/>
          <w:szCs w:val="24"/>
        </w:rPr>
        <w:t xml:space="preserve"> a la ciudadanía sobre el origen, uso y destino final de los recursos públicos </w:t>
      </w:r>
      <w:r w:rsidR="009D637E" w:rsidRPr="00281A4E">
        <w:rPr>
          <w:rFonts w:ascii="Arial" w:hAnsi="Arial" w:cs="Arial"/>
          <w:color w:val="000000"/>
          <w:sz w:val="24"/>
          <w:szCs w:val="24"/>
        </w:rPr>
        <w:t xml:space="preserve">y las donaciones </w:t>
      </w:r>
      <w:r w:rsidR="008F02FC" w:rsidRPr="00281A4E">
        <w:rPr>
          <w:rFonts w:ascii="Arial" w:hAnsi="Arial" w:cs="Arial"/>
          <w:color w:val="000000"/>
          <w:sz w:val="24"/>
          <w:szCs w:val="24"/>
        </w:rPr>
        <w:t>utilizados durante y después de l</w:t>
      </w:r>
      <w:r w:rsidR="006C7AD2" w:rsidRPr="00281A4E">
        <w:rPr>
          <w:rFonts w:ascii="Arial" w:hAnsi="Arial" w:cs="Arial"/>
          <w:color w:val="000000"/>
          <w:sz w:val="24"/>
          <w:szCs w:val="24"/>
        </w:rPr>
        <w:t>a emergencia sanitaria COVID-19.</w:t>
      </w:r>
    </w:p>
    <w:p w14:paraId="2971C33B" w14:textId="77777777" w:rsidR="006C7AD2" w:rsidRPr="00281A4E" w:rsidRDefault="006C7AD2" w:rsidP="0056235C">
      <w:pPr>
        <w:autoSpaceDE w:val="0"/>
        <w:autoSpaceDN w:val="0"/>
        <w:adjustRightInd w:val="0"/>
        <w:spacing w:after="0" w:line="360" w:lineRule="auto"/>
        <w:jc w:val="both"/>
        <w:rPr>
          <w:rFonts w:ascii="Arial" w:hAnsi="Arial" w:cs="Arial"/>
          <w:color w:val="000000"/>
          <w:sz w:val="24"/>
          <w:szCs w:val="24"/>
        </w:rPr>
      </w:pPr>
    </w:p>
    <w:p w14:paraId="3CA33D85" w14:textId="11EE97EE" w:rsidR="00E77AB2" w:rsidRPr="00281A4E" w:rsidRDefault="006C7AD2" w:rsidP="0056235C">
      <w:pPr>
        <w:spacing w:after="0" w:line="360" w:lineRule="auto"/>
        <w:jc w:val="both"/>
        <w:rPr>
          <w:rFonts w:ascii="Arial" w:hAnsi="Arial" w:cs="Arial"/>
          <w:color w:val="000000"/>
          <w:sz w:val="24"/>
          <w:szCs w:val="24"/>
        </w:rPr>
      </w:pPr>
      <w:r w:rsidRPr="00281A4E">
        <w:rPr>
          <w:rFonts w:ascii="Arial" w:hAnsi="Arial" w:cs="Arial"/>
          <w:b/>
          <w:color w:val="000000"/>
          <w:sz w:val="24"/>
          <w:szCs w:val="24"/>
        </w:rPr>
        <w:t>Tercera.</w:t>
      </w:r>
      <w:r w:rsidRPr="00281A4E">
        <w:rPr>
          <w:rFonts w:ascii="Arial" w:hAnsi="Arial" w:cs="Arial"/>
          <w:color w:val="000000"/>
          <w:sz w:val="24"/>
          <w:szCs w:val="24"/>
        </w:rPr>
        <w:t xml:space="preserve"> </w:t>
      </w:r>
      <w:r w:rsidR="0032000F" w:rsidRPr="00281A4E">
        <w:rPr>
          <w:rFonts w:ascii="Arial" w:hAnsi="Arial" w:cs="Arial"/>
          <w:color w:val="000000"/>
          <w:sz w:val="24"/>
          <w:szCs w:val="24"/>
        </w:rPr>
        <w:t xml:space="preserve">Garantizar que la información publicada sea </w:t>
      </w:r>
      <w:r w:rsidR="00C14AB4" w:rsidRPr="00281A4E">
        <w:rPr>
          <w:rFonts w:ascii="Arial" w:hAnsi="Arial" w:cs="Arial"/>
          <w:color w:val="000000"/>
          <w:sz w:val="24"/>
          <w:szCs w:val="24"/>
        </w:rPr>
        <w:t>accesible, confiable, verificable, veraz y oportuna, y cumpla con</w:t>
      </w:r>
      <w:r w:rsidR="0032000F" w:rsidRPr="00281A4E">
        <w:rPr>
          <w:rFonts w:ascii="Arial" w:hAnsi="Arial" w:cs="Arial"/>
          <w:color w:val="000000"/>
          <w:sz w:val="24"/>
          <w:szCs w:val="24"/>
        </w:rPr>
        <w:t xml:space="preserve"> los prin</w:t>
      </w:r>
      <w:r w:rsidR="00C14AB4" w:rsidRPr="00281A4E">
        <w:rPr>
          <w:rFonts w:ascii="Arial" w:hAnsi="Arial" w:cs="Arial"/>
          <w:color w:val="000000"/>
          <w:sz w:val="24"/>
          <w:szCs w:val="24"/>
        </w:rPr>
        <w:t xml:space="preserve">cipios </w:t>
      </w:r>
      <w:r w:rsidR="008F02FC" w:rsidRPr="00281A4E">
        <w:rPr>
          <w:rFonts w:ascii="Arial" w:hAnsi="Arial" w:cs="Arial"/>
          <w:color w:val="000000"/>
          <w:sz w:val="24"/>
          <w:szCs w:val="24"/>
        </w:rPr>
        <w:t>de eficiencia, eficacia, economía, transparencia y honradez.</w:t>
      </w:r>
    </w:p>
    <w:p w14:paraId="6A49E312" w14:textId="29C4F289" w:rsidR="00CF479C" w:rsidRPr="00281A4E" w:rsidRDefault="00CF479C" w:rsidP="0056235C">
      <w:pPr>
        <w:autoSpaceDE w:val="0"/>
        <w:autoSpaceDN w:val="0"/>
        <w:adjustRightInd w:val="0"/>
        <w:spacing w:after="0" w:line="360" w:lineRule="auto"/>
        <w:jc w:val="both"/>
        <w:rPr>
          <w:rFonts w:ascii="Arial" w:hAnsi="Arial" w:cs="Arial"/>
          <w:color w:val="000000"/>
          <w:sz w:val="24"/>
          <w:szCs w:val="24"/>
        </w:rPr>
      </w:pPr>
    </w:p>
    <w:p w14:paraId="5C73BCFD" w14:textId="2D24D700" w:rsidR="0039205C" w:rsidRPr="00281A4E" w:rsidRDefault="00CF479C" w:rsidP="0056235C">
      <w:pPr>
        <w:autoSpaceDE w:val="0"/>
        <w:autoSpaceDN w:val="0"/>
        <w:adjustRightInd w:val="0"/>
        <w:spacing w:after="0" w:line="360" w:lineRule="auto"/>
        <w:jc w:val="both"/>
        <w:rPr>
          <w:rFonts w:ascii="Arial" w:hAnsi="Arial" w:cs="Arial"/>
          <w:color w:val="000000"/>
          <w:sz w:val="24"/>
          <w:szCs w:val="24"/>
        </w:rPr>
      </w:pPr>
      <w:r w:rsidRPr="00281A4E">
        <w:rPr>
          <w:rFonts w:ascii="Arial" w:hAnsi="Arial" w:cs="Arial"/>
          <w:b/>
          <w:color w:val="000000"/>
          <w:sz w:val="24"/>
          <w:szCs w:val="24"/>
        </w:rPr>
        <w:t>Cuarta.</w:t>
      </w:r>
      <w:r w:rsidRPr="00281A4E">
        <w:rPr>
          <w:rFonts w:ascii="Arial" w:hAnsi="Arial" w:cs="Arial"/>
          <w:color w:val="000000"/>
          <w:sz w:val="24"/>
          <w:szCs w:val="24"/>
        </w:rPr>
        <w:t xml:space="preserve"> </w:t>
      </w:r>
      <w:r w:rsidR="00333D56" w:rsidRPr="00281A4E">
        <w:rPr>
          <w:rFonts w:ascii="Arial" w:hAnsi="Arial" w:cs="Arial"/>
          <w:color w:val="000000"/>
          <w:sz w:val="24"/>
          <w:szCs w:val="24"/>
        </w:rPr>
        <w:t>Documentar y r</w:t>
      </w:r>
      <w:r w:rsidR="0039205C" w:rsidRPr="00281A4E">
        <w:rPr>
          <w:rFonts w:ascii="Arial" w:hAnsi="Arial" w:cs="Arial"/>
          <w:color w:val="000000"/>
          <w:sz w:val="24"/>
          <w:szCs w:val="24"/>
        </w:rPr>
        <w:t xml:space="preserve">esguardar toda la información generada </w:t>
      </w:r>
      <w:r w:rsidR="00CB095C" w:rsidRPr="00281A4E">
        <w:rPr>
          <w:rFonts w:ascii="Arial" w:hAnsi="Arial" w:cs="Arial"/>
          <w:color w:val="000000"/>
          <w:sz w:val="24"/>
          <w:szCs w:val="24"/>
        </w:rPr>
        <w:t xml:space="preserve">por la utilización de recursos públicos durante y después de </w:t>
      </w:r>
      <w:r w:rsidR="0039205C" w:rsidRPr="00281A4E">
        <w:rPr>
          <w:rFonts w:ascii="Arial" w:hAnsi="Arial" w:cs="Arial"/>
          <w:color w:val="000000"/>
          <w:sz w:val="24"/>
          <w:szCs w:val="24"/>
        </w:rPr>
        <w:t xml:space="preserve">la </w:t>
      </w:r>
      <w:r w:rsidR="00B560F2" w:rsidRPr="00281A4E">
        <w:rPr>
          <w:rFonts w:ascii="Arial" w:hAnsi="Arial" w:cs="Arial"/>
          <w:color w:val="000000"/>
          <w:sz w:val="24"/>
          <w:szCs w:val="24"/>
        </w:rPr>
        <w:t>pandemia</w:t>
      </w:r>
      <w:r w:rsidR="0039205C" w:rsidRPr="00281A4E">
        <w:rPr>
          <w:rFonts w:ascii="Arial" w:hAnsi="Arial" w:cs="Arial"/>
          <w:color w:val="000000"/>
          <w:sz w:val="24"/>
          <w:szCs w:val="24"/>
        </w:rPr>
        <w:t xml:space="preserve"> </w:t>
      </w:r>
      <w:r w:rsidR="00CB095C" w:rsidRPr="00281A4E">
        <w:rPr>
          <w:rFonts w:ascii="Arial" w:hAnsi="Arial" w:cs="Arial"/>
          <w:color w:val="000000"/>
          <w:sz w:val="24"/>
          <w:szCs w:val="24"/>
        </w:rPr>
        <w:t>a fin de dar certeza de</w:t>
      </w:r>
      <w:r w:rsidR="00B560F2" w:rsidRPr="00281A4E">
        <w:rPr>
          <w:rFonts w:ascii="Arial" w:hAnsi="Arial" w:cs="Arial"/>
          <w:color w:val="000000"/>
          <w:sz w:val="24"/>
          <w:szCs w:val="24"/>
        </w:rPr>
        <w:t xml:space="preserve"> su origen, uso y destino final.</w:t>
      </w:r>
    </w:p>
    <w:p w14:paraId="51310F6E" w14:textId="017FDD24" w:rsidR="000101F6" w:rsidRPr="00281A4E" w:rsidRDefault="000101F6" w:rsidP="0056235C">
      <w:pPr>
        <w:autoSpaceDE w:val="0"/>
        <w:autoSpaceDN w:val="0"/>
        <w:adjustRightInd w:val="0"/>
        <w:spacing w:after="0" w:line="360" w:lineRule="auto"/>
        <w:jc w:val="both"/>
        <w:rPr>
          <w:rFonts w:ascii="Arial" w:hAnsi="Arial" w:cs="Arial"/>
          <w:color w:val="000000"/>
          <w:sz w:val="24"/>
          <w:szCs w:val="24"/>
        </w:rPr>
      </w:pPr>
    </w:p>
    <w:p w14:paraId="567F04E1" w14:textId="4C991F59" w:rsidR="00E53DA1" w:rsidRPr="00281A4E" w:rsidRDefault="00CF479C" w:rsidP="0056235C">
      <w:pPr>
        <w:autoSpaceDE w:val="0"/>
        <w:autoSpaceDN w:val="0"/>
        <w:adjustRightInd w:val="0"/>
        <w:spacing w:after="0" w:line="360" w:lineRule="auto"/>
        <w:jc w:val="both"/>
        <w:rPr>
          <w:rFonts w:ascii="Arial" w:hAnsi="Arial" w:cs="Arial"/>
          <w:color w:val="000000"/>
          <w:sz w:val="24"/>
          <w:szCs w:val="24"/>
        </w:rPr>
      </w:pPr>
      <w:r w:rsidRPr="00281A4E">
        <w:rPr>
          <w:rFonts w:ascii="Arial" w:hAnsi="Arial" w:cs="Arial"/>
          <w:b/>
          <w:color w:val="000000"/>
          <w:sz w:val="24"/>
          <w:szCs w:val="24"/>
        </w:rPr>
        <w:t>Quinta</w:t>
      </w:r>
      <w:r w:rsidR="00861AE7" w:rsidRPr="00281A4E">
        <w:rPr>
          <w:rFonts w:ascii="Arial" w:hAnsi="Arial" w:cs="Arial"/>
          <w:b/>
          <w:color w:val="000000"/>
          <w:sz w:val="24"/>
          <w:szCs w:val="24"/>
        </w:rPr>
        <w:t>.</w:t>
      </w:r>
      <w:r w:rsidR="00861AE7" w:rsidRPr="00281A4E">
        <w:rPr>
          <w:rFonts w:ascii="Arial" w:hAnsi="Arial" w:cs="Arial"/>
          <w:color w:val="000000"/>
          <w:sz w:val="24"/>
          <w:szCs w:val="24"/>
        </w:rPr>
        <w:t xml:space="preserve"> </w:t>
      </w:r>
      <w:r w:rsidR="002F2E84" w:rsidRPr="00281A4E">
        <w:rPr>
          <w:rFonts w:ascii="Arial" w:hAnsi="Arial" w:cs="Arial"/>
          <w:color w:val="000000"/>
          <w:sz w:val="24"/>
          <w:szCs w:val="24"/>
        </w:rPr>
        <w:t>Coordinarse con los integrantes de los sistemas de anticorrupción estales y federal, a fin de que, en términos de sus atribuciones, se lleven a cabo acciones conjuntas de transparencia, auditoria y fiscalización de los recursos utilizados para atender la emergencia sanitaria, incluyendo mecanismos de denuncia y, de sanción, en su caso; ello en términos de sus normativas y de los tiem</w:t>
      </w:r>
      <w:r w:rsidR="00787C32" w:rsidRPr="00281A4E">
        <w:rPr>
          <w:rFonts w:ascii="Arial" w:hAnsi="Arial" w:cs="Arial"/>
          <w:color w:val="000000"/>
          <w:sz w:val="24"/>
          <w:szCs w:val="24"/>
        </w:rPr>
        <w:t>pos que en ellas se determinen.</w:t>
      </w:r>
    </w:p>
    <w:p w14:paraId="087FDD01" w14:textId="191233B6" w:rsidR="00CB095C" w:rsidRPr="00281A4E" w:rsidRDefault="00CB095C" w:rsidP="0056235C">
      <w:pPr>
        <w:autoSpaceDE w:val="0"/>
        <w:autoSpaceDN w:val="0"/>
        <w:adjustRightInd w:val="0"/>
        <w:spacing w:after="0" w:line="360" w:lineRule="auto"/>
        <w:jc w:val="both"/>
        <w:rPr>
          <w:rFonts w:ascii="Arial" w:hAnsi="Arial" w:cs="Arial"/>
          <w:b/>
          <w:color w:val="000000"/>
          <w:sz w:val="24"/>
          <w:szCs w:val="24"/>
        </w:rPr>
      </w:pPr>
    </w:p>
    <w:p w14:paraId="25985674" w14:textId="140B430F" w:rsidR="0073159C" w:rsidRPr="00281A4E" w:rsidRDefault="00E77AB2" w:rsidP="0056235C">
      <w:pPr>
        <w:autoSpaceDE w:val="0"/>
        <w:autoSpaceDN w:val="0"/>
        <w:adjustRightInd w:val="0"/>
        <w:spacing w:after="0" w:line="360" w:lineRule="auto"/>
        <w:jc w:val="both"/>
        <w:rPr>
          <w:rFonts w:ascii="Arial" w:hAnsi="Arial" w:cs="Arial"/>
          <w:color w:val="000000"/>
          <w:sz w:val="24"/>
          <w:szCs w:val="24"/>
        </w:rPr>
      </w:pPr>
      <w:r w:rsidRPr="00281A4E">
        <w:rPr>
          <w:rFonts w:ascii="Arial" w:hAnsi="Arial" w:cs="Arial"/>
          <w:b/>
          <w:color w:val="000000"/>
          <w:sz w:val="24"/>
          <w:szCs w:val="24"/>
        </w:rPr>
        <w:t>Sexta</w:t>
      </w:r>
      <w:r w:rsidR="00CB095C" w:rsidRPr="00281A4E">
        <w:rPr>
          <w:rFonts w:ascii="Arial" w:hAnsi="Arial" w:cs="Arial"/>
          <w:b/>
          <w:color w:val="000000"/>
          <w:sz w:val="24"/>
          <w:szCs w:val="24"/>
        </w:rPr>
        <w:t xml:space="preserve">. </w:t>
      </w:r>
      <w:r w:rsidR="002F2E84" w:rsidRPr="00281A4E">
        <w:rPr>
          <w:rFonts w:ascii="Arial" w:hAnsi="Arial" w:cs="Arial"/>
          <w:color w:val="000000"/>
          <w:sz w:val="24"/>
          <w:szCs w:val="24"/>
        </w:rPr>
        <w:t>Respecto de los recursos públicos dirigidos al apoyo de los diversos sectores de la población para hacer frente a la pandemia, deberán observarse las mejores prácticas en materia de transparencia que permitan identificar con claridad los mecanismos de operación de los programas a partir de los cuales se realiza la dispersión de los recursos, incluyendo los criterios de asignación de los mismos, los padrones de beneficiarios, los montos y la periodicidad de entrega, y, con ello, mejorar la rendición de cuentas de este proceso</w:t>
      </w:r>
      <w:r w:rsidR="00281A4E" w:rsidRPr="00281A4E">
        <w:rPr>
          <w:rFonts w:ascii="Arial" w:hAnsi="Arial" w:cs="Arial"/>
          <w:color w:val="000000"/>
          <w:sz w:val="24"/>
          <w:szCs w:val="24"/>
        </w:rPr>
        <w:t>.</w:t>
      </w:r>
    </w:p>
    <w:p w14:paraId="64E44225" w14:textId="7E4290D4" w:rsidR="00C14AB4" w:rsidRPr="00281A4E" w:rsidRDefault="00C14AB4" w:rsidP="0056235C">
      <w:pPr>
        <w:autoSpaceDE w:val="0"/>
        <w:autoSpaceDN w:val="0"/>
        <w:adjustRightInd w:val="0"/>
        <w:spacing w:after="0" w:line="360" w:lineRule="auto"/>
        <w:jc w:val="both"/>
        <w:rPr>
          <w:rFonts w:ascii="Arial" w:hAnsi="Arial" w:cs="Arial"/>
          <w:color w:val="000000"/>
          <w:sz w:val="24"/>
          <w:szCs w:val="24"/>
        </w:rPr>
      </w:pPr>
    </w:p>
    <w:p w14:paraId="5ABB058E" w14:textId="4EDA94C5" w:rsidR="00F0644E" w:rsidRPr="00281A4E" w:rsidRDefault="00F0644E" w:rsidP="0056235C">
      <w:pPr>
        <w:autoSpaceDE w:val="0"/>
        <w:autoSpaceDN w:val="0"/>
        <w:adjustRightInd w:val="0"/>
        <w:spacing w:after="0" w:line="360" w:lineRule="auto"/>
        <w:jc w:val="both"/>
        <w:rPr>
          <w:rFonts w:ascii="Arial" w:hAnsi="Arial" w:cs="Arial"/>
          <w:color w:val="000000"/>
          <w:sz w:val="24"/>
          <w:szCs w:val="24"/>
        </w:rPr>
      </w:pPr>
    </w:p>
    <w:p w14:paraId="328A21D5" w14:textId="77777777" w:rsidR="00F0644E" w:rsidRPr="00281A4E" w:rsidRDefault="00F0644E" w:rsidP="0056235C">
      <w:pPr>
        <w:autoSpaceDE w:val="0"/>
        <w:autoSpaceDN w:val="0"/>
        <w:adjustRightInd w:val="0"/>
        <w:spacing w:after="0" w:line="360" w:lineRule="auto"/>
        <w:jc w:val="both"/>
        <w:rPr>
          <w:rFonts w:ascii="Arial" w:hAnsi="Arial" w:cs="Arial"/>
          <w:color w:val="000000"/>
          <w:sz w:val="24"/>
          <w:szCs w:val="24"/>
        </w:rPr>
      </w:pPr>
    </w:p>
    <w:p w14:paraId="178223FC" w14:textId="1BBBC61C" w:rsidR="00333D56" w:rsidRPr="00281A4E" w:rsidRDefault="00281A4E" w:rsidP="00F0644E">
      <w:pPr>
        <w:spacing w:after="0" w:line="360" w:lineRule="auto"/>
        <w:jc w:val="center"/>
        <w:rPr>
          <w:rFonts w:ascii="Century Gothic" w:hAnsi="Century Gothic" w:cs="Tahoma"/>
          <w:b/>
          <w:sz w:val="24"/>
          <w:szCs w:val="24"/>
          <w:lang w:eastAsia="es-ES"/>
        </w:rPr>
      </w:pPr>
      <w:r w:rsidRPr="00281A4E">
        <w:rPr>
          <w:rFonts w:ascii="Century Gothic" w:hAnsi="Century Gothic" w:cs="Tahoma"/>
          <w:b/>
          <w:sz w:val="24"/>
          <w:szCs w:val="24"/>
          <w:lang w:eastAsia="es-ES"/>
        </w:rPr>
        <w:t>Ciudad de México, a 15</w:t>
      </w:r>
      <w:r w:rsidR="0032000F" w:rsidRPr="00281A4E">
        <w:rPr>
          <w:rFonts w:ascii="Century Gothic" w:hAnsi="Century Gothic" w:cs="Tahoma"/>
          <w:b/>
          <w:sz w:val="24"/>
          <w:szCs w:val="24"/>
          <w:lang w:eastAsia="es-ES"/>
        </w:rPr>
        <w:t xml:space="preserve"> de mayo de 2020.</w:t>
      </w:r>
    </w:p>
    <w:p w14:paraId="20CD33A5" w14:textId="54A855C2" w:rsidR="00C14AB4" w:rsidRPr="00281A4E" w:rsidRDefault="00C14AB4" w:rsidP="0056235C">
      <w:pPr>
        <w:spacing w:after="0" w:line="360" w:lineRule="auto"/>
        <w:rPr>
          <w:rFonts w:ascii="Century Gothic" w:hAnsi="Century Gothic" w:cs="Tahoma"/>
          <w:b/>
          <w:sz w:val="24"/>
          <w:szCs w:val="24"/>
          <w:lang w:eastAsia="es-ES"/>
        </w:rPr>
      </w:pPr>
    </w:p>
    <w:p w14:paraId="60FFF00C" w14:textId="4F1D0104" w:rsidR="00C14AB4" w:rsidRPr="00281A4E" w:rsidRDefault="00C14AB4" w:rsidP="0056235C">
      <w:pPr>
        <w:spacing w:after="0" w:line="360" w:lineRule="auto"/>
        <w:jc w:val="center"/>
        <w:rPr>
          <w:rFonts w:ascii="Century Gothic" w:hAnsi="Century Gothic" w:cs="Tahoma"/>
          <w:b/>
          <w:sz w:val="24"/>
          <w:szCs w:val="24"/>
          <w:lang w:eastAsia="es-ES"/>
        </w:rPr>
      </w:pPr>
      <w:r w:rsidRPr="00281A4E">
        <w:rPr>
          <w:rFonts w:ascii="Century Gothic" w:hAnsi="Century Gothic" w:cs="Tahoma"/>
          <w:b/>
          <w:sz w:val="24"/>
          <w:szCs w:val="24"/>
          <w:lang w:eastAsia="es-ES"/>
        </w:rPr>
        <w:t>A T E N T AM E N T E</w:t>
      </w:r>
    </w:p>
    <w:p w14:paraId="26BCC701" w14:textId="189CA62C" w:rsidR="00C14AB4" w:rsidRPr="00281A4E" w:rsidRDefault="00C14AB4" w:rsidP="0056235C">
      <w:pPr>
        <w:spacing w:after="0" w:line="360" w:lineRule="auto"/>
        <w:jc w:val="center"/>
        <w:rPr>
          <w:rFonts w:ascii="Century Gothic" w:hAnsi="Century Gothic" w:cs="Tahoma"/>
          <w:b/>
          <w:sz w:val="24"/>
          <w:szCs w:val="24"/>
          <w:lang w:eastAsia="es-ES"/>
        </w:rPr>
      </w:pPr>
    </w:p>
    <w:tbl>
      <w:tblPr>
        <w:tblStyle w:val="Tablaconcuadrculaclar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4411"/>
      </w:tblGrid>
      <w:tr w:rsidR="00AC4F58" w:rsidRPr="00281A4E" w14:paraId="24645291" w14:textId="77777777" w:rsidTr="00BC24A0">
        <w:tc>
          <w:tcPr>
            <w:tcW w:w="4417" w:type="dxa"/>
          </w:tcPr>
          <w:p w14:paraId="4FCDB944" w14:textId="77777777" w:rsidR="00AC4F58" w:rsidRPr="00281A4E" w:rsidRDefault="00AC4F58" w:rsidP="00813C5A">
            <w:pPr>
              <w:jc w:val="center"/>
              <w:rPr>
                <w:rFonts w:ascii="Century Gothic" w:eastAsia="Times New Roman" w:hAnsi="Century Gothic" w:cs="Calibri"/>
                <w:b/>
                <w:color w:val="000000"/>
                <w:sz w:val="24"/>
                <w:szCs w:val="24"/>
                <w:lang w:eastAsia="es-MX"/>
              </w:rPr>
            </w:pPr>
          </w:p>
          <w:p w14:paraId="22494EE8" w14:textId="77777777" w:rsidR="00AC4F58" w:rsidRPr="00281A4E" w:rsidRDefault="00AC4F58" w:rsidP="00813C5A">
            <w:pPr>
              <w:jc w:val="center"/>
              <w:rPr>
                <w:rFonts w:ascii="Century Gothic" w:hAnsi="Century Gothic" w:cs="Tahoma"/>
                <w:b/>
                <w:sz w:val="24"/>
                <w:szCs w:val="24"/>
                <w:lang w:eastAsia="es-ES"/>
              </w:rPr>
            </w:pPr>
            <w:r w:rsidRPr="00281A4E">
              <w:rPr>
                <w:rFonts w:ascii="Century Gothic" w:eastAsia="Times New Roman" w:hAnsi="Century Gothic" w:cs="Calibri"/>
                <w:b/>
                <w:color w:val="000000"/>
                <w:sz w:val="24"/>
                <w:szCs w:val="24"/>
                <w:lang w:eastAsia="es-MX"/>
              </w:rPr>
              <w:t>Elsa Bibiana Peralta Hernández</w:t>
            </w:r>
            <w:r w:rsidRPr="00281A4E">
              <w:rPr>
                <w:rFonts w:ascii="Century Gothic" w:eastAsia="Times New Roman" w:hAnsi="Century Gothic" w:cs="Calibri"/>
                <w:color w:val="000000"/>
                <w:sz w:val="24"/>
                <w:szCs w:val="24"/>
                <w:lang w:eastAsia="es-MX"/>
              </w:rPr>
              <w:t xml:space="preserve"> Coordinadora de la Comisión de Rendición de Cuentas del SNT y Comisionada Ciudadana del INFOCDMX</w:t>
            </w:r>
          </w:p>
        </w:tc>
        <w:tc>
          <w:tcPr>
            <w:tcW w:w="4411" w:type="dxa"/>
          </w:tcPr>
          <w:p w14:paraId="7164CEA7" w14:textId="77777777" w:rsidR="00AC4F58" w:rsidRPr="00281A4E" w:rsidRDefault="00AC4F58" w:rsidP="00813C5A">
            <w:pPr>
              <w:jc w:val="center"/>
              <w:rPr>
                <w:rFonts w:ascii="Century Gothic" w:eastAsia="Times New Roman" w:hAnsi="Century Gothic" w:cs="Calibri"/>
                <w:b/>
                <w:color w:val="000000"/>
                <w:sz w:val="24"/>
                <w:szCs w:val="24"/>
                <w:lang w:eastAsia="es-MX"/>
              </w:rPr>
            </w:pPr>
          </w:p>
          <w:p w14:paraId="4358DB99" w14:textId="77777777" w:rsidR="00AC4F58" w:rsidRPr="00281A4E" w:rsidRDefault="00AC4F58" w:rsidP="00813C5A">
            <w:pPr>
              <w:jc w:val="center"/>
              <w:rPr>
                <w:rFonts w:ascii="Century Gothic" w:eastAsia="Times New Roman" w:hAnsi="Century Gothic" w:cs="Calibri"/>
                <w:b/>
                <w:color w:val="000000"/>
                <w:sz w:val="24"/>
                <w:szCs w:val="24"/>
                <w:lang w:eastAsia="es-MX"/>
              </w:rPr>
            </w:pPr>
            <w:r w:rsidRPr="00281A4E">
              <w:rPr>
                <w:rFonts w:ascii="Century Gothic" w:eastAsia="Times New Roman" w:hAnsi="Century Gothic" w:cs="Calibri"/>
                <w:b/>
                <w:color w:val="000000"/>
                <w:sz w:val="24"/>
                <w:szCs w:val="24"/>
                <w:lang w:eastAsia="es-MX"/>
              </w:rPr>
              <w:t>Fabiola Gilda Torres Rodríguez</w:t>
            </w:r>
          </w:p>
          <w:p w14:paraId="42ED4B08" w14:textId="3164ACE6" w:rsidR="00AC4F58" w:rsidRPr="00281A4E" w:rsidRDefault="00F21615" w:rsidP="00813C5A">
            <w:pPr>
              <w:jc w:val="center"/>
              <w:rPr>
                <w:rFonts w:ascii="Century Gothic" w:hAnsi="Century Gothic" w:cs="Tahoma"/>
                <w:b/>
                <w:sz w:val="24"/>
                <w:szCs w:val="24"/>
                <w:lang w:eastAsia="es-ES"/>
              </w:rPr>
            </w:pPr>
            <w:r>
              <w:rPr>
                <w:rFonts w:ascii="Century Gothic" w:eastAsia="Times New Roman" w:hAnsi="Century Gothic" w:cs="Calibri"/>
                <w:bCs/>
                <w:color w:val="000000"/>
                <w:sz w:val="24"/>
                <w:szCs w:val="24"/>
                <w:lang w:eastAsia="es-MX"/>
              </w:rPr>
              <w:t xml:space="preserve"> Secretaria </w:t>
            </w:r>
            <w:r w:rsidR="00AC4F58" w:rsidRPr="00281A4E">
              <w:rPr>
                <w:rFonts w:ascii="Century Gothic" w:eastAsia="Times New Roman" w:hAnsi="Century Gothic" w:cs="Calibri"/>
                <w:bCs/>
                <w:color w:val="000000"/>
                <w:sz w:val="24"/>
                <w:szCs w:val="24"/>
                <w:lang w:eastAsia="es-MX"/>
              </w:rPr>
              <w:t xml:space="preserve">de la Comisión </w:t>
            </w:r>
            <w:r w:rsidR="00281A4E" w:rsidRPr="00281A4E">
              <w:rPr>
                <w:rFonts w:ascii="Century Gothic" w:eastAsia="Times New Roman" w:hAnsi="Century Gothic" w:cs="Calibri"/>
                <w:bCs/>
                <w:color w:val="000000"/>
                <w:sz w:val="24"/>
                <w:szCs w:val="24"/>
                <w:lang w:eastAsia="es-MX"/>
              </w:rPr>
              <w:t xml:space="preserve">de Rendición de Cuentas </w:t>
            </w:r>
            <w:r w:rsidR="00AC4F58" w:rsidRPr="00281A4E">
              <w:rPr>
                <w:rFonts w:ascii="Century Gothic" w:eastAsia="Times New Roman" w:hAnsi="Century Gothic" w:cs="Calibri"/>
                <w:bCs/>
                <w:color w:val="000000"/>
                <w:sz w:val="24"/>
                <w:szCs w:val="24"/>
                <w:lang w:eastAsia="es-MX"/>
              </w:rPr>
              <w:t xml:space="preserve">y </w:t>
            </w:r>
            <w:r w:rsidR="00AC4F58" w:rsidRPr="00281A4E">
              <w:rPr>
                <w:rFonts w:ascii="Century Gothic" w:hAnsi="Century Gothic"/>
                <w:sz w:val="24"/>
                <w:szCs w:val="24"/>
              </w:rPr>
              <w:t>Comisionada del IZAI</w:t>
            </w:r>
          </w:p>
        </w:tc>
      </w:tr>
      <w:tr w:rsidR="00AC4F58" w:rsidRPr="00281A4E" w14:paraId="4B29A102" w14:textId="77777777" w:rsidTr="00BC24A0">
        <w:tc>
          <w:tcPr>
            <w:tcW w:w="4417" w:type="dxa"/>
          </w:tcPr>
          <w:p w14:paraId="37C0444A" w14:textId="05218504" w:rsidR="00AC4F58" w:rsidRPr="00281A4E" w:rsidRDefault="00AC4F58" w:rsidP="00813C5A">
            <w:pPr>
              <w:rPr>
                <w:rFonts w:ascii="Century Gothic" w:eastAsia="Times New Roman" w:hAnsi="Century Gothic" w:cs="Calibri"/>
                <w:b/>
                <w:color w:val="000000"/>
                <w:sz w:val="24"/>
                <w:szCs w:val="24"/>
                <w:lang w:eastAsia="es-MX"/>
              </w:rPr>
            </w:pPr>
          </w:p>
          <w:p w14:paraId="71F893F6" w14:textId="77777777" w:rsidR="00AC4F58" w:rsidRPr="00281A4E" w:rsidRDefault="00AC4F58" w:rsidP="00813C5A">
            <w:pPr>
              <w:rPr>
                <w:rFonts w:ascii="Century Gothic" w:eastAsia="Times New Roman" w:hAnsi="Century Gothic" w:cs="Calibri"/>
                <w:b/>
                <w:color w:val="000000"/>
                <w:sz w:val="24"/>
                <w:szCs w:val="24"/>
                <w:lang w:eastAsia="es-MX"/>
              </w:rPr>
            </w:pPr>
          </w:p>
          <w:p w14:paraId="6608ACE3" w14:textId="77777777" w:rsidR="00AC4F58" w:rsidRPr="00281A4E" w:rsidRDefault="00AC4F58" w:rsidP="00813C5A">
            <w:pPr>
              <w:jc w:val="center"/>
              <w:rPr>
                <w:rFonts w:ascii="Century Gothic" w:eastAsia="Times New Roman" w:hAnsi="Century Gothic" w:cs="Calibri"/>
                <w:bCs/>
                <w:color w:val="000000"/>
                <w:sz w:val="24"/>
                <w:szCs w:val="24"/>
                <w:lang w:eastAsia="es-MX"/>
              </w:rPr>
            </w:pPr>
            <w:r w:rsidRPr="00281A4E">
              <w:rPr>
                <w:rFonts w:ascii="Century Gothic" w:eastAsia="Times New Roman" w:hAnsi="Century Gothic" w:cs="Calibri"/>
                <w:b/>
                <w:color w:val="000000"/>
                <w:sz w:val="24"/>
                <w:szCs w:val="24"/>
                <w:lang w:eastAsia="es-MX"/>
              </w:rPr>
              <w:t>Óscar Mauricio Guerra Ford</w:t>
            </w:r>
            <w:r w:rsidRPr="00281A4E">
              <w:rPr>
                <w:rFonts w:ascii="Century Gothic" w:eastAsia="Times New Roman" w:hAnsi="Century Gothic" w:cs="Calibri"/>
                <w:color w:val="000000"/>
                <w:sz w:val="24"/>
                <w:szCs w:val="24"/>
                <w:lang w:eastAsia="es-MX"/>
              </w:rPr>
              <w:t xml:space="preserve"> Comisionado del INAI</w:t>
            </w:r>
          </w:p>
        </w:tc>
        <w:tc>
          <w:tcPr>
            <w:tcW w:w="4411" w:type="dxa"/>
          </w:tcPr>
          <w:p w14:paraId="75DD70C8" w14:textId="42B6E2CA" w:rsidR="00AC4F58" w:rsidRPr="00281A4E" w:rsidRDefault="00AC4F58" w:rsidP="00813C5A">
            <w:pPr>
              <w:jc w:val="both"/>
              <w:rPr>
                <w:rFonts w:ascii="Century Gothic" w:eastAsia="Times New Roman" w:hAnsi="Century Gothic" w:cs="Calibri"/>
                <w:b/>
                <w:color w:val="1F497D" w:themeColor="text2"/>
                <w:sz w:val="24"/>
                <w:szCs w:val="24"/>
                <w:lang w:eastAsia="es-MX"/>
              </w:rPr>
            </w:pPr>
          </w:p>
          <w:p w14:paraId="4B3C8D36" w14:textId="7FBB5920" w:rsidR="00AC4F58" w:rsidRPr="00281A4E" w:rsidRDefault="00AC4F58" w:rsidP="00813C5A">
            <w:pPr>
              <w:jc w:val="center"/>
              <w:rPr>
                <w:rFonts w:ascii="Century Gothic" w:eastAsia="Times New Roman" w:hAnsi="Century Gothic" w:cs="Calibri"/>
                <w:b/>
                <w:color w:val="000000"/>
                <w:sz w:val="24"/>
                <w:szCs w:val="24"/>
                <w:lang w:eastAsia="es-MX"/>
              </w:rPr>
            </w:pPr>
            <w:r w:rsidRPr="00281A4E">
              <w:rPr>
                <w:rFonts w:ascii="Century Gothic" w:eastAsia="Times New Roman" w:hAnsi="Century Gothic" w:cs="Calibri"/>
                <w:b/>
                <w:color w:val="000000"/>
                <w:sz w:val="24"/>
                <w:szCs w:val="24"/>
                <w:lang w:eastAsia="es-MX"/>
              </w:rPr>
              <w:t>Areli Cano Guadiana</w:t>
            </w:r>
          </w:p>
          <w:p w14:paraId="6D022176" w14:textId="59CB80B4" w:rsidR="00AC4F58" w:rsidRPr="00281A4E" w:rsidRDefault="00AC4F58" w:rsidP="00813C5A">
            <w:pPr>
              <w:jc w:val="center"/>
              <w:rPr>
                <w:rFonts w:ascii="Century Gothic" w:eastAsia="Times New Roman" w:hAnsi="Century Gothic" w:cs="Calibri"/>
                <w:color w:val="000000"/>
                <w:sz w:val="24"/>
                <w:szCs w:val="24"/>
                <w:lang w:eastAsia="es-MX"/>
              </w:rPr>
            </w:pPr>
            <w:r w:rsidRPr="00281A4E">
              <w:rPr>
                <w:rFonts w:ascii="Century Gothic" w:eastAsia="Times New Roman" w:hAnsi="Century Gothic" w:cs="Calibri"/>
                <w:color w:val="000000"/>
                <w:sz w:val="24"/>
                <w:szCs w:val="24"/>
                <w:lang w:eastAsia="es-MX"/>
              </w:rPr>
              <w:t>Director</w:t>
            </w:r>
            <w:r w:rsidR="00402D92" w:rsidRPr="00281A4E">
              <w:rPr>
                <w:rFonts w:ascii="Century Gothic" w:eastAsia="Times New Roman" w:hAnsi="Century Gothic" w:cs="Calibri"/>
                <w:color w:val="000000"/>
                <w:sz w:val="24"/>
                <w:szCs w:val="24"/>
                <w:lang w:eastAsia="es-MX"/>
              </w:rPr>
              <w:t>a</w:t>
            </w:r>
            <w:r w:rsidRPr="00281A4E">
              <w:rPr>
                <w:rFonts w:ascii="Century Gothic" w:eastAsia="Times New Roman" w:hAnsi="Century Gothic" w:cs="Calibri"/>
                <w:color w:val="000000"/>
                <w:sz w:val="24"/>
                <w:szCs w:val="24"/>
                <w:lang w:eastAsia="es-MX"/>
              </w:rPr>
              <w:t xml:space="preserve"> General de Transparencia de la Auditoría Superior de la Federación (ASF)</w:t>
            </w:r>
          </w:p>
          <w:p w14:paraId="05CAABB3" w14:textId="77777777" w:rsidR="00AC4F58" w:rsidRPr="00281A4E" w:rsidRDefault="00AC4F58" w:rsidP="00813C5A">
            <w:pPr>
              <w:jc w:val="center"/>
              <w:rPr>
                <w:rFonts w:ascii="Century Gothic" w:eastAsia="Times New Roman" w:hAnsi="Century Gothic" w:cs="Calibri"/>
                <w:b/>
                <w:color w:val="000000"/>
                <w:sz w:val="24"/>
                <w:szCs w:val="24"/>
                <w:lang w:eastAsia="es-MX"/>
              </w:rPr>
            </w:pPr>
          </w:p>
        </w:tc>
      </w:tr>
      <w:tr w:rsidR="00AC4F58" w:rsidRPr="00281A4E" w14:paraId="49F3D6AF" w14:textId="77777777" w:rsidTr="00BC24A0">
        <w:tc>
          <w:tcPr>
            <w:tcW w:w="4417" w:type="dxa"/>
          </w:tcPr>
          <w:p w14:paraId="17129F4C" w14:textId="77777777" w:rsidR="00AC4F58" w:rsidRPr="00281A4E" w:rsidRDefault="00AC4F58" w:rsidP="00813C5A">
            <w:pPr>
              <w:jc w:val="center"/>
              <w:rPr>
                <w:rFonts w:ascii="Century Gothic" w:eastAsia="Times New Roman" w:hAnsi="Century Gothic" w:cs="Calibri"/>
                <w:b/>
                <w:color w:val="000000"/>
                <w:sz w:val="24"/>
                <w:szCs w:val="24"/>
                <w:lang w:eastAsia="es-MX"/>
              </w:rPr>
            </w:pPr>
          </w:p>
          <w:p w14:paraId="187A4237" w14:textId="6748DD61" w:rsidR="00AC4F58" w:rsidRPr="00281A4E" w:rsidRDefault="00AC4F58" w:rsidP="00813C5A">
            <w:pPr>
              <w:jc w:val="center"/>
              <w:rPr>
                <w:rFonts w:ascii="Century Gothic" w:eastAsia="Times New Roman" w:hAnsi="Century Gothic" w:cs="Calibri"/>
                <w:b/>
                <w:color w:val="000000"/>
                <w:sz w:val="24"/>
                <w:szCs w:val="24"/>
                <w:lang w:eastAsia="es-MX"/>
              </w:rPr>
            </w:pPr>
            <w:r w:rsidRPr="00281A4E">
              <w:rPr>
                <w:rFonts w:ascii="Century Gothic" w:eastAsia="Times New Roman" w:hAnsi="Century Gothic" w:cs="Calibri"/>
                <w:b/>
                <w:color w:val="000000"/>
                <w:sz w:val="24"/>
                <w:szCs w:val="24"/>
                <w:lang w:eastAsia="es-MX"/>
              </w:rPr>
              <w:t>Manuel Rodríguez Murillo</w:t>
            </w:r>
          </w:p>
          <w:p w14:paraId="4075EAB8" w14:textId="72C53DD2" w:rsidR="00AC4F58" w:rsidRPr="00281A4E" w:rsidRDefault="00AC4F58" w:rsidP="007B1848">
            <w:pPr>
              <w:jc w:val="center"/>
              <w:rPr>
                <w:rFonts w:ascii="Century Gothic" w:eastAsia="Times New Roman" w:hAnsi="Century Gothic" w:cs="Calibri"/>
                <w:bCs/>
                <w:color w:val="000000"/>
                <w:sz w:val="24"/>
                <w:szCs w:val="24"/>
                <w:lang w:eastAsia="es-MX"/>
              </w:rPr>
            </w:pPr>
            <w:r w:rsidRPr="00281A4E">
              <w:rPr>
                <w:rFonts w:ascii="Century Gothic" w:eastAsia="Times New Roman" w:hAnsi="Century Gothic" w:cs="Calibri"/>
                <w:color w:val="000000"/>
                <w:sz w:val="24"/>
                <w:szCs w:val="24"/>
                <w:lang w:eastAsia="es-MX"/>
              </w:rPr>
              <w:t>Titular del</w:t>
            </w:r>
            <w:r w:rsidRPr="00281A4E">
              <w:rPr>
                <w:rFonts w:ascii="Century Gothic" w:eastAsia="Times New Roman" w:hAnsi="Century Gothic" w:cs="Calibri"/>
                <w:b/>
                <w:color w:val="000000"/>
                <w:sz w:val="24"/>
                <w:szCs w:val="24"/>
                <w:lang w:eastAsia="es-MX"/>
              </w:rPr>
              <w:t xml:space="preserve"> </w:t>
            </w:r>
            <w:r w:rsidRPr="00281A4E">
              <w:rPr>
                <w:rFonts w:ascii="Century Gothic" w:eastAsia="Times New Roman" w:hAnsi="Century Gothic" w:cs="Calibri"/>
                <w:bCs/>
                <w:color w:val="000000"/>
                <w:sz w:val="24"/>
                <w:szCs w:val="24"/>
                <w:lang w:eastAsia="es-MX"/>
              </w:rPr>
              <w:t xml:space="preserve">Órgano Interno de Control </w:t>
            </w:r>
            <w:r w:rsidR="007B1848">
              <w:rPr>
                <w:rFonts w:ascii="Century Gothic" w:eastAsia="Times New Roman" w:hAnsi="Century Gothic" w:cs="Calibri"/>
                <w:bCs/>
                <w:color w:val="000000"/>
                <w:sz w:val="24"/>
                <w:szCs w:val="24"/>
                <w:lang w:eastAsia="es-MX"/>
              </w:rPr>
              <w:t xml:space="preserve">del </w:t>
            </w:r>
            <w:r w:rsidR="007B1848" w:rsidRPr="007B1848">
              <w:rPr>
                <w:rFonts w:ascii="Century Gothic" w:eastAsia="Times New Roman" w:hAnsi="Century Gothic" w:cs="Calibri"/>
                <w:bCs/>
                <w:color w:val="000000"/>
                <w:sz w:val="24"/>
                <w:szCs w:val="24"/>
                <w:lang w:eastAsia="es-MX"/>
              </w:rPr>
              <w:t>Instituto Nacional de Estadística y Geografía (INEGI)</w:t>
            </w:r>
          </w:p>
          <w:p w14:paraId="06BA72F5" w14:textId="77777777" w:rsidR="00AC4F58" w:rsidRPr="00281A4E" w:rsidRDefault="00AC4F58" w:rsidP="00813C5A">
            <w:pPr>
              <w:jc w:val="center"/>
              <w:rPr>
                <w:rFonts w:ascii="Century Gothic" w:eastAsia="Times New Roman" w:hAnsi="Century Gothic" w:cs="Calibri"/>
                <w:b/>
                <w:color w:val="000000"/>
                <w:sz w:val="24"/>
                <w:szCs w:val="24"/>
                <w:lang w:eastAsia="es-MX"/>
              </w:rPr>
            </w:pPr>
          </w:p>
        </w:tc>
        <w:tc>
          <w:tcPr>
            <w:tcW w:w="4411" w:type="dxa"/>
          </w:tcPr>
          <w:p w14:paraId="39D8D9E0" w14:textId="77777777" w:rsidR="00AC4F58" w:rsidRPr="00281A4E" w:rsidRDefault="00AC4F58" w:rsidP="00813C5A">
            <w:pPr>
              <w:jc w:val="center"/>
              <w:rPr>
                <w:rFonts w:ascii="Century Gothic" w:eastAsia="Times New Roman" w:hAnsi="Century Gothic" w:cs="Calibri"/>
                <w:b/>
                <w:color w:val="000000"/>
                <w:sz w:val="24"/>
                <w:szCs w:val="24"/>
                <w:lang w:eastAsia="es-MX"/>
              </w:rPr>
            </w:pPr>
          </w:p>
          <w:p w14:paraId="46702D16" w14:textId="77777777" w:rsidR="0059250A" w:rsidRPr="00281A4E" w:rsidRDefault="0059250A" w:rsidP="00813C5A">
            <w:pPr>
              <w:jc w:val="center"/>
              <w:rPr>
                <w:rFonts w:ascii="Century Gothic" w:eastAsia="Times New Roman" w:hAnsi="Century Gothic" w:cs="Calibri"/>
                <w:b/>
                <w:color w:val="000000"/>
                <w:sz w:val="24"/>
                <w:szCs w:val="24"/>
                <w:lang w:eastAsia="es-MX"/>
              </w:rPr>
            </w:pPr>
            <w:r w:rsidRPr="00281A4E">
              <w:rPr>
                <w:rFonts w:ascii="Century Gothic" w:eastAsia="Times New Roman" w:hAnsi="Century Gothic" w:cs="Calibri"/>
                <w:b/>
                <w:color w:val="000000"/>
                <w:sz w:val="24"/>
                <w:szCs w:val="24"/>
                <w:lang w:eastAsia="es-MX"/>
              </w:rPr>
              <w:t>Lucía Ariana Miranda Gómez</w:t>
            </w:r>
          </w:p>
          <w:p w14:paraId="587E81FA" w14:textId="77777777" w:rsidR="0059250A" w:rsidRPr="00281A4E" w:rsidRDefault="0059250A" w:rsidP="00813C5A">
            <w:pPr>
              <w:jc w:val="center"/>
              <w:rPr>
                <w:rFonts w:ascii="Century Gothic" w:eastAsia="Times New Roman" w:hAnsi="Century Gothic" w:cs="Calibri"/>
                <w:bCs/>
                <w:color w:val="000000"/>
                <w:sz w:val="24"/>
                <w:szCs w:val="24"/>
                <w:lang w:eastAsia="es-MX"/>
              </w:rPr>
            </w:pPr>
            <w:r w:rsidRPr="00281A4E">
              <w:rPr>
                <w:rFonts w:ascii="Century Gothic" w:eastAsia="Times New Roman" w:hAnsi="Century Gothic" w:cs="Calibri"/>
                <w:bCs/>
                <w:color w:val="000000"/>
                <w:sz w:val="24"/>
                <w:szCs w:val="24"/>
                <w:lang w:eastAsia="es-MX"/>
              </w:rPr>
              <w:t>Comisionada Presidenta</w:t>
            </w:r>
          </w:p>
          <w:p w14:paraId="3041089A" w14:textId="68447A0B" w:rsidR="00AC4F58" w:rsidRPr="00281A4E" w:rsidRDefault="0059250A" w:rsidP="00DD30A1">
            <w:pPr>
              <w:jc w:val="center"/>
              <w:rPr>
                <w:rFonts w:ascii="Century Gothic" w:eastAsia="Times New Roman" w:hAnsi="Century Gothic" w:cs="Calibri"/>
                <w:bCs/>
                <w:color w:val="000000"/>
                <w:sz w:val="24"/>
                <w:szCs w:val="24"/>
                <w:lang w:eastAsia="es-MX"/>
              </w:rPr>
            </w:pPr>
            <w:r w:rsidRPr="00281A4E">
              <w:rPr>
                <w:rFonts w:ascii="Century Gothic" w:eastAsia="Times New Roman" w:hAnsi="Century Gothic" w:cs="Calibri"/>
                <w:bCs/>
                <w:color w:val="000000"/>
                <w:sz w:val="24"/>
                <w:szCs w:val="24"/>
                <w:lang w:eastAsia="es-MX"/>
              </w:rPr>
              <w:t xml:space="preserve"> del ITAIPBC</w:t>
            </w:r>
          </w:p>
        </w:tc>
      </w:tr>
      <w:tr w:rsidR="00AC4F58" w:rsidRPr="00281A4E" w14:paraId="7B019568" w14:textId="77777777" w:rsidTr="00BC24A0">
        <w:tc>
          <w:tcPr>
            <w:tcW w:w="4417" w:type="dxa"/>
          </w:tcPr>
          <w:p w14:paraId="2A7FD024" w14:textId="77777777" w:rsidR="00AC4F58" w:rsidRPr="00281A4E" w:rsidRDefault="00AC4F58" w:rsidP="00813C5A">
            <w:pPr>
              <w:jc w:val="center"/>
              <w:rPr>
                <w:rFonts w:ascii="Century Gothic" w:hAnsi="Century Gothic" w:cs="Tahoma"/>
                <w:b/>
                <w:sz w:val="24"/>
                <w:szCs w:val="24"/>
                <w:lang w:eastAsia="es-ES"/>
              </w:rPr>
            </w:pPr>
          </w:p>
          <w:p w14:paraId="37971EEB" w14:textId="77777777" w:rsidR="0059250A" w:rsidRPr="00281A4E" w:rsidRDefault="0059250A" w:rsidP="00813C5A">
            <w:pPr>
              <w:jc w:val="center"/>
              <w:rPr>
                <w:rFonts w:ascii="Century Gothic" w:hAnsi="Century Gothic" w:cs="Tahoma"/>
                <w:b/>
                <w:sz w:val="24"/>
                <w:szCs w:val="24"/>
                <w:lang w:eastAsia="es-ES"/>
              </w:rPr>
            </w:pPr>
            <w:r w:rsidRPr="00281A4E">
              <w:rPr>
                <w:rFonts w:ascii="Century Gothic" w:hAnsi="Century Gothic" w:cs="Tahoma"/>
                <w:b/>
                <w:sz w:val="24"/>
                <w:szCs w:val="24"/>
                <w:lang w:eastAsia="es-ES"/>
              </w:rPr>
              <w:t>Jesús Alberto Sandoval Franco</w:t>
            </w:r>
          </w:p>
          <w:p w14:paraId="53D5805A" w14:textId="1CD52272" w:rsidR="00AC4F58" w:rsidRPr="00281A4E" w:rsidRDefault="0059250A" w:rsidP="00813C5A">
            <w:pPr>
              <w:jc w:val="center"/>
              <w:rPr>
                <w:rFonts w:ascii="Century Gothic" w:eastAsia="Times New Roman" w:hAnsi="Century Gothic" w:cs="Calibri"/>
                <w:color w:val="000000"/>
                <w:sz w:val="24"/>
                <w:szCs w:val="24"/>
                <w:lang w:eastAsia="es-MX"/>
              </w:rPr>
            </w:pPr>
            <w:r w:rsidRPr="00281A4E">
              <w:rPr>
                <w:rFonts w:ascii="Century Gothic" w:eastAsia="Times New Roman" w:hAnsi="Century Gothic" w:cs="Calibri"/>
                <w:color w:val="000000"/>
                <w:sz w:val="24"/>
                <w:szCs w:val="24"/>
                <w:lang w:eastAsia="es-MX"/>
              </w:rPr>
              <w:t>Comisionado del ITAIPBC</w:t>
            </w:r>
          </w:p>
          <w:p w14:paraId="21819EF7" w14:textId="47103531" w:rsidR="0059250A" w:rsidRPr="00281A4E" w:rsidRDefault="0059250A" w:rsidP="00813C5A">
            <w:pPr>
              <w:jc w:val="center"/>
              <w:rPr>
                <w:rFonts w:ascii="Century Gothic" w:eastAsia="Times New Roman" w:hAnsi="Century Gothic" w:cs="Calibri"/>
                <w:b/>
                <w:color w:val="000000"/>
                <w:sz w:val="24"/>
                <w:szCs w:val="24"/>
                <w:lang w:eastAsia="es-MX"/>
              </w:rPr>
            </w:pPr>
          </w:p>
        </w:tc>
        <w:tc>
          <w:tcPr>
            <w:tcW w:w="4411" w:type="dxa"/>
          </w:tcPr>
          <w:p w14:paraId="04BC3ABB" w14:textId="77777777" w:rsidR="00AC4F58" w:rsidRPr="00281A4E" w:rsidRDefault="00AC4F58" w:rsidP="00813C5A">
            <w:pPr>
              <w:jc w:val="center"/>
              <w:rPr>
                <w:rFonts w:ascii="Century Gothic" w:eastAsia="Times New Roman" w:hAnsi="Century Gothic" w:cs="Calibri"/>
                <w:b/>
                <w:color w:val="000000"/>
                <w:sz w:val="24"/>
                <w:szCs w:val="24"/>
                <w:lang w:eastAsia="es-MX"/>
              </w:rPr>
            </w:pPr>
          </w:p>
          <w:p w14:paraId="4425D8F9" w14:textId="6BC23CD0" w:rsidR="0059250A" w:rsidRPr="00281A4E" w:rsidRDefault="00351774" w:rsidP="00351774">
            <w:pPr>
              <w:jc w:val="center"/>
              <w:rPr>
                <w:rFonts w:ascii="Century Gothic" w:eastAsia="Times New Roman" w:hAnsi="Century Gothic" w:cs="Calibri"/>
                <w:b/>
                <w:color w:val="000000"/>
                <w:sz w:val="24"/>
                <w:szCs w:val="24"/>
                <w:lang w:eastAsia="es-MX"/>
              </w:rPr>
            </w:pPr>
            <w:r w:rsidRPr="00281A4E">
              <w:rPr>
                <w:rFonts w:ascii="Century Gothic" w:eastAsia="Times New Roman" w:hAnsi="Century Gothic" w:cs="Calibri"/>
                <w:b/>
                <w:color w:val="000000"/>
                <w:sz w:val="24"/>
                <w:szCs w:val="24"/>
                <w:lang w:eastAsia="es-MX"/>
              </w:rPr>
              <w:t>Amelia Lucía Martínez Portillo</w:t>
            </w:r>
            <w:r w:rsidRPr="00281A4E">
              <w:rPr>
                <w:rFonts w:ascii="Century Gothic" w:eastAsia="Times New Roman" w:hAnsi="Century Gothic" w:cs="Calibri"/>
                <w:color w:val="000000"/>
                <w:sz w:val="24"/>
                <w:szCs w:val="24"/>
                <w:lang w:eastAsia="es-MX"/>
              </w:rPr>
              <w:t xml:space="preserve"> Comisionada del ICHITAIP</w:t>
            </w:r>
          </w:p>
        </w:tc>
      </w:tr>
      <w:tr w:rsidR="00AC4F58" w:rsidRPr="00281A4E" w14:paraId="743B5A51" w14:textId="77777777" w:rsidTr="00BC24A0">
        <w:tc>
          <w:tcPr>
            <w:tcW w:w="4417" w:type="dxa"/>
          </w:tcPr>
          <w:p w14:paraId="6C034EC0" w14:textId="16081631" w:rsidR="00AC4F58" w:rsidRPr="00281A4E" w:rsidRDefault="00AC4F58" w:rsidP="00813C5A">
            <w:pPr>
              <w:rPr>
                <w:rFonts w:ascii="Century Gothic" w:eastAsia="Times New Roman" w:hAnsi="Century Gothic" w:cs="Calibri"/>
                <w:b/>
                <w:color w:val="000000"/>
                <w:sz w:val="24"/>
                <w:szCs w:val="24"/>
                <w:lang w:eastAsia="es-MX"/>
              </w:rPr>
            </w:pPr>
          </w:p>
          <w:p w14:paraId="6D57F62C" w14:textId="77777777" w:rsidR="00351774" w:rsidRPr="00281A4E" w:rsidRDefault="00351774" w:rsidP="00351774">
            <w:pPr>
              <w:jc w:val="center"/>
              <w:rPr>
                <w:rFonts w:ascii="Century Gothic" w:eastAsia="Times New Roman" w:hAnsi="Century Gothic" w:cs="Calibri"/>
                <w:color w:val="000000"/>
                <w:sz w:val="24"/>
                <w:szCs w:val="24"/>
                <w:lang w:eastAsia="es-MX"/>
              </w:rPr>
            </w:pPr>
            <w:r w:rsidRPr="00281A4E">
              <w:rPr>
                <w:rFonts w:ascii="Century Gothic" w:eastAsia="Times New Roman" w:hAnsi="Century Gothic" w:cs="Calibri"/>
                <w:b/>
                <w:color w:val="000000"/>
                <w:sz w:val="24"/>
                <w:szCs w:val="24"/>
                <w:lang w:eastAsia="es-MX"/>
              </w:rPr>
              <w:t>Julio César Bonilla Gutiérrez</w:t>
            </w:r>
            <w:r w:rsidRPr="00281A4E">
              <w:rPr>
                <w:rFonts w:ascii="Century Gothic" w:eastAsia="Times New Roman" w:hAnsi="Century Gothic" w:cs="Calibri"/>
                <w:color w:val="000000"/>
                <w:sz w:val="24"/>
                <w:szCs w:val="24"/>
                <w:lang w:eastAsia="es-MX"/>
              </w:rPr>
              <w:t xml:space="preserve"> Coordinador de la Región Centro del SNT y Comisionado Presidente del INFOCDMX</w:t>
            </w:r>
          </w:p>
          <w:p w14:paraId="025ACB58" w14:textId="4204E708" w:rsidR="00AC4F58" w:rsidRPr="00281A4E" w:rsidRDefault="00AC4F58" w:rsidP="00813C5A">
            <w:pPr>
              <w:rPr>
                <w:rFonts w:ascii="Century Gothic" w:eastAsia="Times New Roman" w:hAnsi="Century Gothic" w:cs="Calibri"/>
                <w:b/>
                <w:color w:val="000000"/>
                <w:sz w:val="24"/>
                <w:szCs w:val="24"/>
                <w:lang w:eastAsia="es-MX"/>
              </w:rPr>
            </w:pPr>
          </w:p>
          <w:p w14:paraId="55F0FA15" w14:textId="655E3FCB" w:rsidR="00AC4F58" w:rsidRPr="00281A4E" w:rsidRDefault="00AC4F58" w:rsidP="00813C5A">
            <w:pPr>
              <w:jc w:val="center"/>
              <w:rPr>
                <w:rFonts w:ascii="Century Gothic" w:hAnsi="Century Gothic" w:cs="Tahoma"/>
                <w:b/>
                <w:sz w:val="24"/>
                <w:szCs w:val="24"/>
                <w:lang w:eastAsia="es-ES"/>
              </w:rPr>
            </w:pPr>
          </w:p>
        </w:tc>
        <w:tc>
          <w:tcPr>
            <w:tcW w:w="4411" w:type="dxa"/>
          </w:tcPr>
          <w:p w14:paraId="3C252A77" w14:textId="1BBB2D4C" w:rsidR="00FD51C4" w:rsidRPr="00281A4E" w:rsidRDefault="00FD51C4" w:rsidP="00FD51C4">
            <w:pPr>
              <w:rPr>
                <w:rFonts w:ascii="Century Gothic" w:eastAsia="Times New Roman" w:hAnsi="Century Gothic" w:cs="Calibri"/>
                <w:b/>
                <w:color w:val="000000"/>
                <w:sz w:val="24"/>
                <w:szCs w:val="24"/>
                <w:lang w:eastAsia="es-MX"/>
              </w:rPr>
            </w:pPr>
          </w:p>
          <w:p w14:paraId="470645E5" w14:textId="77777777" w:rsidR="00351774" w:rsidRPr="00281A4E" w:rsidRDefault="00351774" w:rsidP="00351774">
            <w:pPr>
              <w:jc w:val="center"/>
              <w:rPr>
                <w:rFonts w:ascii="Century Gothic" w:eastAsia="Times New Roman" w:hAnsi="Century Gothic" w:cs="Calibri"/>
                <w:b/>
                <w:color w:val="000000"/>
                <w:sz w:val="24"/>
                <w:szCs w:val="24"/>
                <w:lang w:eastAsia="es-MX"/>
              </w:rPr>
            </w:pPr>
            <w:r w:rsidRPr="00281A4E">
              <w:rPr>
                <w:rFonts w:ascii="Century Gothic" w:eastAsia="Times New Roman" w:hAnsi="Century Gothic" w:cs="Calibri"/>
                <w:b/>
                <w:color w:val="000000"/>
                <w:sz w:val="24"/>
                <w:szCs w:val="24"/>
                <w:lang w:eastAsia="es-MX"/>
              </w:rPr>
              <w:t>Christian Velasco Milanés</w:t>
            </w:r>
          </w:p>
          <w:p w14:paraId="56B438F5" w14:textId="77777777" w:rsidR="00351774" w:rsidRPr="00281A4E" w:rsidRDefault="00351774" w:rsidP="00351774">
            <w:pPr>
              <w:jc w:val="center"/>
              <w:rPr>
                <w:rFonts w:ascii="Century Gothic" w:eastAsia="Times New Roman" w:hAnsi="Century Gothic" w:cs="Calibri"/>
                <w:color w:val="000000"/>
                <w:sz w:val="24"/>
                <w:szCs w:val="24"/>
                <w:lang w:eastAsia="es-MX"/>
              </w:rPr>
            </w:pPr>
            <w:r w:rsidRPr="00281A4E">
              <w:rPr>
                <w:rFonts w:ascii="Century Gothic" w:eastAsia="Times New Roman" w:hAnsi="Century Gothic" w:cs="Calibri"/>
                <w:color w:val="000000"/>
                <w:sz w:val="24"/>
                <w:szCs w:val="24"/>
                <w:lang w:eastAsia="es-MX"/>
              </w:rPr>
              <w:t xml:space="preserve">Comisionado Presidente </w:t>
            </w:r>
          </w:p>
          <w:p w14:paraId="775E359A" w14:textId="6E2F75C1" w:rsidR="00AC4F58" w:rsidRPr="00281A4E" w:rsidRDefault="00351774" w:rsidP="00351774">
            <w:pPr>
              <w:jc w:val="center"/>
              <w:rPr>
                <w:rFonts w:ascii="Century Gothic" w:eastAsia="Times New Roman" w:hAnsi="Century Gothic" w:cs="Calibri"/>
                <w:b/>
                <w:color w:val="000000"/>
                <w:sz w:val="24"/>
                <w:szCs w:val="24"/>
                <w:lang w:eastAsia="es-MX"/>
              </w:rPr>
            </w:pPr>
            <w:r w:rsidRPr="00281A4E">
              <w:rPr>
                <w:rFonts w:ascii="Century Gothic" w:eastAsia="Times New Roman" w:hAnsi="Century Gothic" w:cs="Calibri"/>
                <w:color w:val="000000"/>
                <w:sz w:val="24"/>
                <w:szCs w:val="24"/>
                <w:lang w:eastAsia="es-MX"/>
              </w:rPr>
              <w:t xml:space="preserve">del INFOCOL </w:t>
            </w:r>
          </w:p>
        </w:tc>
      </w:tr>
      <w:tr w:rsidR="00AC4F58" w:rsidRPr="00281A4E" w14:paraId="08A62B9E" w14:textId="77777777" w:rsidTr="00BC24A0">
        <w:trPr>
          <w:trHeight w:val="1281"/>
        </w:trPr>
        <w:tc>
          <w:tcPr>
            <w:tcW w:w="4417" w:type="dxa"/>
          </w:tcPr>
          <w:p w14:paraId="6E60FB26" w14:textId="203E3C1C" w:rsidR="00351774" w:rsidRPr="00281A4E" w:rsidRDefault="00351774" w:rsidP="00351774">
            <w:pPr>
              <w:rPr>
                <w:rFonts w:ascii="Century Gothic" w:eastAsia="Times New Roman" w:hAnsi="Century Gothic" w:cs="Calibri"/>
                <w:b/>
                <w:color w:val="000000"/>
                <w:sz w:val="24"/>
                <w:szCs w:val="24"/>
                <w:lang w:eastAsia="es-MX"/>
              </w:rPr>
            </w:pPr>
          </w:p>
          <w:p w14:paraId="198FD745" w14:textId="77777777" w:rsidR="00351774" w:rsidRPr="00281A4E" w:rsidRDefault="00351774" w:rsidP="00351774">
            <w:pPr>
              <w:jc w:val="center"/>
              <w:rPr>
                <w:rFonts w:ascii="Century Gothic" w:hAnsi="Century Gothic" w:cs="Tahoma"/>
                <w:b/>
                <w:sz w:val="24"/>
                <w:szCs w:val="24"/>
                <w:lang w:eastAsia="es-ES"/>
              </w:rPr>
            </w:pPr>
            <w:r w:rsidRPr="00281A4E">
              <w:rPr>
                <w:rFonts w:ascii="Century Gothic" w:hAnsi="Century Gothic" w:cs="Tahoma"/>
                <w:b/>
                <w:sz w:val="24"/>
                <w:szCs w:val="24"/>
                <w:lang w:eastAsia="es-ES"/>
              </w:rPr>
              <w:t>Alma Cristina López de la Torre</w:t>
            </w:r>
          </w:p>
          <w:p w14:paraId="63679312" w14:textId="3E422C49" w:rsidR="00AC4F58" w:rsidRPr="00281A4E" w:rsidRDefault="00351774" w:rsidP="00351774">
            <w:pPr>
              <w:jc w:val="center"/>
              <w:rPr>
                <w:rFonts w:ascii="Century Gothic" w:eastAsia="Times New Roman" w:hAnsi="Century Gothic" w:cs="Calibri"/>
                <w:bCs/>
                <w:color w:val="000000"/>
                <w:sz w:val="24"/>
                <w:szCs w:val="24"/>
                <w:lang w:eastAsia="es-MX"/>
              </w:rPr>
            </w:pPr>
            <w:r w:rsidRPr="00281A4E">
              <w:rPr>
                <w:rFonts w:ascii="Century Gothic" w:hAnsi="Century Gothic" w:cs="Tahoma"/>
                <w:bCs/>
                <w:sz w:val="24"/>
                <w:szCs w:val="24"/>
                <w:lang w:eastAsia="es-ES"/>
              </w:rPr>
              <w:t>Comisionada Presidenta del IDAIP</w:t>
            </w:r>
          </w:p>
        </w:tc>
        <w:tc>
          <w:tcPr>
            <w:tcW w:w="4411" w:type="dxa"/>
          </w:tcPr>
          <w:p w14:paraId="7155D75A" w14:textId="77777777" w:rsidR="00351774" w:rsidRPr="00281A4E" w:rsidRDefault="00351774" w:rsidP="00351774">
            <w:pPr>
              <w:jc w:val="center"/>
              <w:rPr>
                <w:rFonts w:ascii="Century Gothic" w:eastAsia="Times New Roman" w:hAnsi="Century Gothic" w:cs="Calibri"/>
                <w:b/>
                <w:color w:val="000000"/>
                <w:sz w:val="24"/>
                <w:szCs w:val="24"/>
                <w:lang w:eastAsia="es-MX"/>
              </w:rPr>
            </w:pPr>
          </w:p>
          <w:p w14:paraId="2ED39B82" w14:textId="4BDCD14A" w:rsidR="00351774" w:rsidRPr="00281A4E" w:rsidRDefault="00351774" w:rsidP="00351774">
            <w:pPr>
              <w:jc w:val="center"/>
              <w:rPr>
                <w:rFonts w:ascii="Century Gothic" w:eastAsia="Times New Roman" w:hAnsi="Century Gothic" w:cs="Calibri"/>
                <w:bCs/>
                <w:color w:val="000000"/>
                <w:sz w:val="24"/>
                <w:szCs w:val="24"/>
                <w:lang w:eastAsia="es-MX"/>
              </w:rPr>
            </w:pPr>
            <w:r w:rsidRPr="00281A4E">
              <w:rPr>
                <w:rFonts w:ascii="Century Gothic" w:eastAsia="Times New Roman" w:hAnsi="Century Gothic" w:cs="Calibri"/>
                <w:b/>
                <w:color w:val="000000"/>
                <w:sz w:val="24"/>
                <w:szCs w:val="24"/>
                <w:lang w:eastAsia="es-MX"/>
              </w:rPr>
              <w:t>Zulema Martínez Sánchez</w:t>
            </w:r>
            <w:r w:rsidRPr="00281A4E">
              <w:rPr>
                <w:rFonts w:ascii="Century Gothic" w:eastAsia="Times New Roman" w:hAnsi="Century Gothic" w:cs="Calibri"/>
                <w:bCs/>
                <w:color w:val="000000"/>
                <w:sz w:val="24"/>
                <w:szCs w:val="24"/>
                <w:lang w:eastAsia="es-MX"/>
              </w:rPr>
              <w:t xml:space="preserve"> Comisionada Presidenta </w:t>
            </w:r>
          </w:p>
          <w:p w14:paraId="07019948" w14:textId="77777777" w:rsidR="00351774" w:rsidRPr="00281A4E" w:rsidRDefault="00351774" w:rsidP="00351774">
            <w:pPr>
              <w:jc w:val="center"/>
              <w:rPr>
                <w:rFonts w:ascii="Century Gothic" w:eastAsia="Times New Roman" w:hAnsi="Century Gothic" w:cs="Calibri"/>
                <w:b/>
                <w:color w:val="000000"/>
                <w:sz w:val="24"/>
                <w:szCs w:val="24"/>
                <w:lang w:eastAsia="es-MX"/>
              </w:rPr>
            </w:pPr>
            <w:r w:rsidRPr="00281A4E">
              <w:rPr>
                <w:rFonts w:ascii="Century Gothic" w:eastAsia="Times New Roman" w:hAnsi="Century Gothic" w:cs="Calibri"/>
                <w:bCs/>
                <w:color w:val="000000"/>
                <w:sz w:val="24"/>
                <w:szCs w:val="24"/>
                <w:lang w:eastAsia="es-MX"/>
              </w:rPr>
              <w:t>del INFOEM</w:t>
            </w:r>
          </w:p>
          <w:p w14:paraId="191D006E" w14:textId="35252DF6" w:rsidR="00AC4F58" w:rsidRPr="00281A4E" w:rsidRDefault="00AC4F58" w:rsidP="00813C5A">
            <w:pPr>
              <w:jc w:val="center"/>
              <w:rPr>
                <w:rFonts w:ascii="Century Gothic" w:eastAsia="Times New Roman" w:hAnsi="Century Gothic" w:cs="Calibri"/>
                <w:bCs/>
                <w:color w:val="000000"/>
                <w:sz w:val="24"/>
                <w:szCs w:val="24"/>
                <w:lang w:eastAsia="es-MX"/>
              </w:rPr>
            </w:pPr>
          </w:p>
        </w:tc>
      </w:tr>
      <w:tr w:rsidR="00AC4F58" w:rsidRPr="00281A4E" w14:paraId="63A6A904" w14:textId="77777777" w:rsidTr="00BC24A0">
        <w:trPr>
          <w:trHeight w:val="1152"/>
        </w:trPr>
        <w:tc>
          <w:tcPr>
            <w:tcW w:w="4417" w:type="dxa"/>
          </w:tcPr>
          <w:p w14:paraId="44DA8506" w14:textId="77777777" w:rsidR="00AC4F58" w:rsidRPr="00281A4E" w:rsidRDefault="00AC4F58" w:rsidP="00813C5A">
            <w:pPr>
              <w:jc w:val="center"/>
              <w:rPr>
                <w:rFonts w:ascii="Century Gothic" w:eastAsia="Times New Roman" w:hAnsi="Century Gothic" w:cs="Calibri"/>
                <w:b/>
                <w:color w:val="000000"/>
                <w:sz w:val="24"/>
                <w:szCs w:val="24"/>
                <w:lang w:eastAsia="es-MX"/>
              </w:rPr>
            </w:pPr>
          </w:p>
          <w:p w14:paraId="18D9B849" w14:textId="6CA413EA" w:rsidR="00AC4F58" w:rsidRPr="00281A4E" w:rsidRDefault="00351774" w:rsidP="00351774">
            <w:pPr>
              <w:jc w:val="center"/>
              <w:rPr>
                <w:rFonts w:ascii="Century Gothic" w:eastAsia="Times New Roman" w:hAnsi="Century Gothic" w:cs="Calibri"/>
                <w:b/>
                <w:color w:val="000000"/>
                <w:sz w:val="24"/>
                <w:szCs w:val="24"/>
                <w:lang w:eastAsia="es-MX"/>
              </w:rPr>
            </w:pPr>
            <w:r w:rsidRPr="00281A4E">
              <w:rPr>
                <w:rFonts w:ascii="Century Gothic" w:eastAsia="Times New Roman" w:hAnsi="Century Gothic" w:cs="Calibri"/>
                <w:b/>
                <w:color w:val="000000"/>
                <w:sz w:val="24"/>
                <w:szCs w:val="24"/>
                <w:lang w:eastAsia="es-MX"/>
              </w:rPr>
              <w:t>Dora Ivonne Rosales Sotelo</w:t>
            </w:r>
            <w:r w:rsidRPr="00281A4E">
              <w:rPr>
                <w:rFonts w:ascii="Century Gothic" w:eastAsia="Times New Roman" w:hAnsi="Century Gothic" w:cs="Calibri"/>
                <w:color w:val="000000"/>
                <w:sz w:val="24"/>
                <w:szCs w:val="24"/>
                <w:lang w:eastAsia="es-MX"/>
              </w:rPr>
              <w:t xml:space="preserve"> Comisionada Presidenta del IMIPE</w:t>
            </w:r>
          </w:p>
        </w:tc>
        <w:tc>
          <w:tcPr>
            <w:tcW w:w="4411" w:type="dxa"/>
          </w:tcPr>
          <w:p w14:paraId="737F758C" w14:textId="77777777" w:rsidR="00AC4F58" w:rsidRPr="00281A4E" w:rsidRDefault="00AC4F58" w:rsidP="00813C5A">
            <w:pPr>
              <w:jc w:val="center"/>
              <w:rPr>
                <w:rFonts w:ascii="Century Gothic" w:eastAsia="Times New Roman" w:hAnsi="Century Gothic" w:cs="Calibri"/>
                <w:b/>
                <w:color w:val="000000"/>
                <w:sz w:val="24"/>
                <w:szCs w:val="24"/>
                <w:lang w:eastAsia="es-MX"/>
              </w:rPr>
            </w:pPr>
          </w:p>
          <w:p w14:paraId="708BB245" w14:textId="77777777" w:rsidR="00351774" w:rsidRPr="00281A4E" w:rsidRDefault="00351774" w:rsidP="00351774">
            <w:pPr>
              <w:jc w:val="center"/>
              <w:rPr>
                <w:rFonts w:ascii="Century Gothic" w:eastAsia="Times New Roman" w:hAnsi="Century Gothic" w:cs="Calibri"/>
                <w:color w:val="000000"/>
                <w:sz w:val="24"/>
                <w:szCs w:val="24"/>
                <w:lang w:eastAsia="es-MX"/>
              </w:rPr>
            </w:pPr>
            <w:r w:rsidRPr="00281A4E">
              <w:rPr>
                <w:rFonts w:ascii="Century Gothic" w:eastAsia="Times New Roman" w:hAnsi="Century Gothic" w:cs="Calibri"/>
                <w:b/>
                <w:color w:val="000000"/>
                <w:sz w:val="24"/>
                <w:szCs w:val="24"/>
                <w:lang w:eastAsia="es-MX"/>
              </w:rPr>
              <w:t xml:space="preserve">Andrés Miranda Guerrero </w:t>
            </w:r>
            <w:r w:rsidRPr="00281A4E">
              <w:rPr>
                <w:rFonts w:ascii="Century Gothic" w:eastAsia="Times New Roman" w:hAnsi="Century Gothic" w:cs="Calibri"/>
                <w:color w:val="000000"/>
                <w:sz w:val="24"/>
                <w:szCs w:val="24"/>
                <w:lang w:eastAsia="es-MX"/>
              </w:rPr>
              <w:t>Comisionado del ISTAI</w:t>
            </w:r>
          </w:p>
          <w:p w14:paraId="3C13EE38" w14:textId="77777777" w:rsidR="00AC4F58" w:rsidRPr="00281A4E" w:rsidRDefault="00AC4F58" w:rsidP="00351774">
            <w:pPr>
              <w:jc w:val="center"/>
              <w:rPr>
                <w:rFonts w:ascii="Century Gothic" w:hAnsi="Century Gothic" w:cs="Tahoma"/>
                <w:b/>
                <w:sz w:val="24"/>
                <w:szCs w:val="24"/>
                <w:lang w:eastAsia="es-ES"/>
              </w:rPr>
            </w:pPr>
          </w:p>
        </w:tc>
      </w:tr>
      <w:tr w:rsidR="00AC4F58" w:rsidRPr="00281A4E" w14:paraId="4AD734CA" w14:textId="77777777" w:rsidTr="00BC24A0">
        <w:tc>
          <w:tcPr>
            <w:tcW w:w="4417" w:type="dxa"/>
          </w:tcPr>
          <w:p w14:paraId="0BAEF405" w14:textId="77777777" w:rsidR="00AC4F58" w:rsidRPr="00281A4E" w:rsidRDefault="00AC4F58" w:rsidP="00813C5A">
            <w:pPr>
              <w:jc w:val="center"/>
              <w:rPr>
                <w:rFonts w:ascii="Century Gothic" w:eastAsia="Times New Roman" w:hAnsi="Century Gothic" w:cs="Calibri"/>
                <w:b/>
                <w:color w:val="000000"/>
                <w:sz w:val="24"/>
                <w:szCs w:val="24"/>
                <w:lang w:eastAsia="es-MX"/>
              </w:rPr>
            </w:pPr>
          </w:p>
          <w:p w14:paraId="0F4EC687" w14:textId="77777777" w:rsidR="00351774" w:rsidRPr="00281A4E" w:rsidRDefault="00351774" w:rsidP="00351774">
            <w:pPr>
              <w:jc w:val="center"/>
              <w:rPr>
                <w:rFonts w:ascii="Century Gothic" w:eastAsia="Times New Roman" w:hAnsi="Century Gothic" w:cs="Calibri"/>
                <w:b/>
                <w:color w:val="000000"/>
                <w:sz w:val="24"/>
                <w:szCs w:val="24"/>
                <w:lang w:eastAsia="es-MX"/>
              </w:rPr>
            </w:pPr>
            <w:r w:rsidRPr="00281A4E">
              <w:rPr>
                <w:rFonts w:ascii="Century Gothic" w:eastAsia="Times New Roman" w:hAnsi="Century Gothic" w:cs="Calibri"/>
                <w:b/>
                <w:color w:val="000000"/>
                <w:sz w:val="24"/>
                <w:szCs w:val="24"/>
                <w:lang w:eastAsia="es-MX"/>
              </w:rPr>
              <w:t xml:space="preserve">Didier Fabián López Sánchez </w:t>
            </w:r>
          </w:p>
          <w:p w14:paraId="5C22EC7A" w14:textId="77777777" w:rsidR="00351774" w:rsidRPr="00281A4E" w:rsidRDefault="00351774" w:rsidP="00351774">
            <w:pPr>
              <w:jc w:val="center"/>
              <w:rPr>
                <w:rFonts w:ascii="Century Gothic" w:eastAsia="Times New Roman" w:hAnsi="Century Gothic" w:cs="Calibri"/>
                <w:color w:val="000000"/>
                <w:sz w:val="24"/>
                <w:szCs w:val="24"/>
                <w:lang w:eastAsia="es-MX"/>
              </w:rPr>
            </w:pPr>
            <w:r w:rsidRPr="00281A4E">
              <w:rPr>
                <w:rFonts w:ascii="Century Gothic" w:eastAsia="Times New Roman" w:hAnsi="Century Gothic" w:cs="Calibri"/>
                <w:color w:val="000000"/>
                <w:sz w:val="24"/>
                <w:szCs w:val="24"/>
                <w:lang w:eastAsia="es-MX"/>
              </w:rPr>
              <w:t>Comisionado del IAIP</w:t>
            </w:r>
          </w:p>
          <w:p w14:paraId="5085CA4E" w14:textId="77777777" w:rsidR="00AC4F58" w:rsidRPr="00281A4E" w:rsidRDefault="00AC4F58" w:rsidP="00351774">
            <w:pPr>
              <w:jc w:val="center"/>
              <w:rPr>
                <w:rFonts w:ascii="Century Gothic" w:hAnsi="Century Gothic" w:cs="Tahoma"/>
                <w:b/>
                <w:sz w:val="24"/>
                <w:szCs w:val="24"/>
                <w:lang w:eastAsia="es-ES"/>
              </w:rPr>
            </w:pPr>
          </w:p>
        </w:tc>
        <w:tc>
          <w:tcPr>
            <w:tcW w:w="4411" w:type="dxa"/>
          </w:tcPr>
          <w:p w14:paraId="2504AC3A" w14:textId="651AFA51" w:rsidR="0059250A" w:rsidRPr="00281A4E" w:rsidRDefault="0059250A" w:rsidP="00813C5A">
            <w:pPr>
              <w:rPr>
                <w:rFonts w:ascii="Century Gothic" w:hAnsi="Century Gothic" w:cs="Tahoma"/>
                <w:b/>
                <w:sz w:val="24"/>
                <w:szCs w:val="24"/>
                <w:lang w:eastAsia="es-ES"/>
              </w:rPr>
            </w:pPr>
          </w:p>
          <w:p w14:paraId="692EFE1B" w14:textId="5A7ECD99" w:rsidR="00AC4F58" w:rsidRPr="00281A4E" w:rsidRDefault="00351774" w:rsidP="00351774">
            <w:pPr>
              <w:jc w:val="center"/>
              <w:rPr>
                <w:rFonts w:ascii="Century Gothic" w:hAnsi="Century Gothic" w:cs="Tahoma"/>
                <w:b/>
                <w:sz w:val="24"/>
                <w:szCs w:val="24"/>
                <w:lang w:eastAsia="es-ES"/>
              </w:rPr>
            </w:pPr>
            <w:r w:rsidRPr="00281A4E">
              <w:rPr>
                <w:rFonts w:ascii="Century Gothic" w:eastAsia="Times New Roman" w:hAnsi="Century Gothic" w:cs="Calibri"/>
                <w:b/>
                <w:color w:val="000000"/>
                <w:sz w:val="24"/>
                <w:szCs w:val="24"/>
                <w:lang w:eastAsia="es-MX"/>
              </w:rPr>
              <w:t>Aldrin Martín Briceño Conrado</w:t>
            </w:r>
            <w:r w:rsidRPr="00281A4E">
              <w:rPr>
                <w:rFonts w:ascii="Century Gothic" w:eastAsia="Times New Roman" w:hAnsi="Century Gothic" w:cs="Calibri"/>
                <w:b/>
                <w:color w:val="000000"/>
                <w:sz w:val="24"/>
                <w:szCs w:val="24"/>
                <w:lang w:eastAsia="es-MX"/>
              </w:rPr>
              <w:br/>
            </w:r>
            <w:r w:rsidRPr="00281A4E">
              <w:rPr>
                <w:rFonts w:ascii="Century Gothic" w:eastAsia="Times New Roman" w:hAnsi="Century Gothic" w:cs="Calibri"/>
                <w:color w:val="000000"/>
                <w:sz w:val="24"/>
                <w:szCs w:val="24"/>
                <w:lang w:eastAsia="es-MX"/>
              </w:rPr>
              <w:t>Comisionado Presidente del INAIP</w:t>
            </w:r>
          </w:p>
        </w:tc>
      </w:tr>
      <w:tr w:rsidR="00AC4F58" w14:paraId="716BF527" w14:textId="77777777" w:rsidTr="00BC24A0">
        <w:tc>
          <w:tcPr>
            <w:tcW w:w="4417" w:type="dxa"/>
          </w:tcPr>
          <w:p w14:paraId="12C3F07F" w14:textId="77777777" w:rsidR="00AC4F58" w:rsidRPr="00281A4E" w:rsidRDefault="00AC4F58" w:rsidP="00813C5A">
            <w:pPr>
              <w:jc w:val="center"/>
              <w:rPr>
                <w:rFonts w:ascii="Century Gothic" w:eastAsia="Times New Roman" w:hAnsi="Century Gothic" w:cs="Calibri"/>
                <w:b/>
                <w:color w:val="000000"/>
                <w:sz w:val="24"/>
                <w:szCs w:val="24"/>
                <w:lang w:eastAsia="es-MX"/>
              </w:rPr>
            </w:pPr>
            <w:bookmarkStart w:id="1" w:name="_Hlk40192033"/>
          </w:p>
          <w:p w14:paraId="13F7B2B1" w14:textId="77777777" w:rsidR="00351774" w:rsidRPr="00281A4E" w:rsidRDefault="00351774" w:rsidP="00351774">
            <w:pPr>
              <w:jc w:val="center"/>
              <w:rPr>
                <w:rFonts w:ascii="Century Gothic" w:hAnsi="Century Gothic" w:cs="Tahoma"/>
                <w:b/>
                <w:sz w:val="24"/>
                <w:szCs w:val="24"/>
                <w:lang w:eastAsia="es-ES"/>
              </w:rPr>
            </w:pPr>
            <w:r w:rsidRPr="00281A4E">
              <w:rPr>
                <w:rFonts w:ascii="Century Gothic" w:hAnsi="Century Gothic" w:cs="Tahoma"/>
                <w:b/>
                <w:sz w:val="24"/>
                <w:szCs w:val="24"/>
                <w:lang w:eastAsia="es-ES"/>
              </w:rPr>
              <w:t>Samuel Montoya Álvarez</w:t>
            </w:r>
          </w:p>
          <w:p w14:paraId="208EF982" w14:textId="77777777" w:rsidR="00351774" w:rsidRPr="00281A4E" w:rsidRDefault="00351774" w:rsidP="00351774">
            <w:pPr>
              <w:jc w:val="center"/>
              <w:rPr>
                <w:rFonts w:ascii="Century Gothic" w:eastAsia="Times New Roman" w:hAnsi="Century Gothic" w:cs="Calibri"/>
                <w:color w:val="000000"/>
                <w:sz w:val="24"/>
                <w:szCs w:val="24"/>
                <w:lang w:eastAsia="es-MX"/>
              </w:rPr>
            </w:pPr>
            <w:r w:rsidRPr="00281A4E">
              <w:rPr>
                <w:rFonts w:ascii="Century Gothic" w:eastAsia="Times New Roman" w:hAnsi="Century Gothic" w:cs="Calibri"/>
                <w:color w:val="000000"/>
                <w:sz w:val="24"/>
                <w:szCs w:val="24"/>
                <w:lang w:eastAsia="es-MX"/>
              </w:rPr>
              <w:t xml:space="preserve">Comisionado Presidente </w:t>
            </w:r>
          </w:p>
          <w:p w14:paraId="2806B576" w14:textId="77777777" w:rsidR="00351774" w:rsidRPr="00281A4E" w:rsidRDefault="00351774" w:rsidP="00351774">
            <w:pPr>
              <w:jc w:val="center"/>
              <w:rPr>
                <w:rFonts w:ascii="Century Gothic" w:eastAsia="Times New Roman" w:hAnsi="Century Gothic" w:cs="Calibri"/>
                <w:color w:val="000000"/>
                <w:sz w:val="24"/>
                <w:szCs w:val="24"/>
                <w:lang w:eastAsia="es-MX"/>
              </w:rPr>
            </w:pPr>
            <w:r w:rsidRPr="00281A4E">
              <w:rPr>
                <w:rFonts w:ascii="Century Gothic" w:eastAsia="Times New Roman" w:hAnsi="Century Gothic" w:cs="Calibri"/>
                <w:color w:val="000000"/>
                <w:sz w:val="24"/>
                <w:szCs w:val="24"/>
                <w:lang w:eastAsia="es-MX"/>
              </w:rPr>
              <w:t>del IZAI</w:t>
            </w:r>
          </w:p>
          <w:p w14:paraId="01EDE8EB" w14:textId="46A3DD65" w:rsidR="00AC4F58" w:rsidRPr="00281A4E" w:rsidRDefault="00AC4F58" w:rsidP="00813C5A">
            <w:pPr>
              <w:jc w:val="center"/>
              <w:rPr>
                <w:rFonts w:ascii="Century Gothic" w:hAnsi="Century Gothic" w:cs="Tahoma"/>
                <w:b/>
                <w:sz w:val="24"/>
                <w:szCs w:val="24"/>
                <w:lang w:eastAsia="es-ES"/>
              </w:rPr>
            </w:pPr>
          </w:p>
        </w:tc>
        <w:tc>
          <w:tcPr>
            <w:tcW w:w="4411" w:type="dxa"/>
          </w:tcPr>
          <w:p w14:paraId="1F0D3C5D" w14:textId="77777777" w:rsidR="00AC4F58" w:rsidRPr="00281A4E" w:rsidRDefault="00AC4F58" w:rsidP="00813C5A">
            <w:pPr>
              <w:jc w:val="center"/>
              <w:rPr>
                <w:rFonts w:ascii="Century Gothic" w:hAnsi="Century Gothic" w:cs="Tahoma"/>
                <w:b/>
                <w:sz w:val="24"/>
                <w:szCs w:val="24"/>
                <w:lang w:eastAsia="es-ES"/>
              </w:rPr>
            </w:pPr>
          </w:p>
          <w:p w14:paraId="774DA15F" w14:textId="77777777" w:rsidR="00351774" w:rsidRPr="00281A4E" w:rsidRDefault="00351774" w:rsidP="00351774">
            <w:pPr>
              <w:jc w:val="center"/>
              <w:rPr>
                <w:rFonts w:ascii="Century Gothic" w:eastAsia="Times New Roman" w:hAnsi="Century Gothic" w:cs="Calibri"/>
                <w:b/>
                <w:color w:val="000000"/>
                <w:sz w:val="24"/>
                <w:szCs w:val="24"/>
                <w:lang w:eastAsia="es-MX"/>
              </w:rPr>
            </w:pPr>
            <w:r w:rsidRPr="00281A4E">
              <w:rPr>
                <w:rFonts w:ascii="Century Gothic" w:eastAsia="Times New Roman" w:hAnsi="Century Gothic" w:cs="Calibri"/>
                <w:b/>
                <w:color w:val="000000"/>
                <w:sz w:val="24"/>
                <w:szCs w:val="24"/>
                <w:lang w:eastAsia="es-MX"/>
              </w:rPr>
              <w:t>Norma Julieta del Río Venegas</w:t>
            </w:r>
          </w:p>
          <w:p w14:paraId="7834B4D7" w14:textId="77777777" w:rsidR="00351774" w:rsidRDefault="00351774" w:rsidP="00351774">
            <w:pPr>
              <w:jc w:val="center"/>
              <w:rPr>
                <w:rFonts w:ascii="Century Gothic" w:eastAsia="Times New Roman" w:hAnsi="Century Gothic" w:cs="Calibri"/>
                <w:color w:val="000000"/>
                <w:sz w:val="24"/>
                <w:szCs w:val="24"/>
                <w:lang w:eastAsia="es-MX"/>
              </w:rPr>
            </w:pPr>
            <w:r w:rsidRPr="00281A4E">
              <w:rPr>
                <w:rFonts w:ascii="Century Gothic" w:eastAsia="Times New Roman" w:hAnsi="Century Gothic" w:cs="Calibri"/>
                <w:color w:val="000000"/>
                <w:sz w:val="24"/>
                <w:szCs w:val="24"/>
                <w:lang w:eastAsia="es-MX"/>
              </w:rPr>
              <w:t>Comisionada del IZAI</w:t>
            </w:r>
          </w:p>
          <w:p w14:paraId="7C5203E2" w14:textId="7B0AED73" w:rsidR="00813C5A" w:rsidRPr="004F02F4" w:rsidRDefault="00813C5A" w:rsidP="00351774">
            <w:pPr>
              <w:jc w:val="center"/>
              <w:rPr>
                <w:rFonts w:ascii="Century Gothic" w:eastAsia="Times New Roman" w:hAnsi="Century Gothic" w:cs="Calibri"/>
                <w:b/>
                <w:color w:val="000000"/>
                <w:sz w:val="24"/>
                <w:szCs w:val="24"/>
                <w:lang w:eastAsia="es-MX"/>
              </w:rPr>
            </w:pPr>
          </w:p>
        </w:tc>
      </w:tr>
      <w:bookmarkEnd w:id="1"/>
    </w:tbl>
    <w:p w14:paraId="4C9F9C88" w14:textId="77777777" w:rsidR="00C14AB4" w:rsidRDefault="00C14AB4" w:rsidP="0056235C">
      <w:pPr>
        <w:spacing w:after="0" w:line="360" w:lineRule="auto"/>
        <w:jc w:val="center"/>
        <w:rPr>
          <w:rFonts w:ascii="Century Gothic" w:hAnsi="Century Gothic" w:cs="Tahoma"/>
          <w:b/>
          <w:sz w:val="24"/>
          <w:szCs w:val="24"/>
          <w:lang w:eastAsia="es-ES"/>
        </w:rPr>
      </w:pPr>
    </w:p>
    <w:p w14:paraId="7798E6E5" w14:textId="29A87CBF" w:rsidR="00333D56" w:rsidRPr="0032000F" w:rsidRDefault="00333D56" w:rsidP="0056235C">
      <w:pPr>
        <w:spacing w:after="0" w:line="360" w:lineRule="auto"/>
        <w:jc w:val="center"/>
        <w:rPr>
          <w:rFonts w:ascii="Century Gothic" w:hAnsi="Century Gothic" w:cs="Tahoma"/>
          <w:b/>
          <w:sz w:val="24"/>
          <w:szCs w:val="24"/>
          <w:lang w:eastAsia="es-ES"/>
        </w:rPr>
      </w:pPr>
    </w:p>
    <w:sectPr w:rsidR="00333D56" w:rsidRPr="0032000F" w:rsidSect="00461F55">
      <w:headerReference w:type="default" r:id="rId8"/>
      <w:footerReference w:type="default" r:id="rId9"/>
      <w:pgSz w:w="12240" w:h="15840" w:code="1"/>
      <w:pgMar w:top="1417" w:right="1701" w:bottom="1843" w:left="1701" w:header="993" w:footer="10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EBCBB" w14:textId="77777777" w:rsidR="000459CB" w:rsidRDefault="000459CB" w:rsidP="00A643C0">
      <w:pPr>
        <w:spacing w:after="0" w:line="240" w:lineRule="auto"/>
      </w:pPr>
      <w:r>
        <w:separator/>
      </w:r>
    </w:p>
  </w:endnote>
  <w:endnote w:type="continuationSeparator" w:id="0">
    <w:p w14:paraId="520112A1" w14:textId="77777777" w:rsidR="000459CB" w:rsidRDefault="000459CB" w:rsidP="00A6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742147"/>
      <w:docPartObj>
        <w:docPartGallery w:val="Page Numbers (Bottom of Page)"/>
        <w:docPartUnique/>
      </w:docPartObj>
    </w:sdtPr>
    <w:sdtEndPr/>
    <w:sdtContent>
      <w:p w14:paraId="2E3B0CAD" w14:textId="3F7910D9" w:rsidR="006137B0" w:rsidRDefault="006137B0">
        <w:pPr>
          <w:pStyle w:val="Piedepgina"/>
          <w:jc w:val="right"/>
        </w:pPr>
        <w:r>
          <w:fldChar w:fldCharType="begin"/>
        </w:r>
        <w:r>
          <w:instrText>PAGE   \* MERGEFORMAT</w:instrText>
        </w:r>
        <w:r>
          <w:fldChar w:fldCharType="separate"/>
        </w:r>
        <w:r w:rsidR="00C512EA">
          <w:rPr>
            <w:noProof/>
          </w:rPr>
          <w:t>1</w:t>
        </w:r>
        <w:r>
          <w:fldChar w:fldCharType="end"/>
        </w:r>
      </w:p>
    </w:sdtContent>
  </w:sdt>
  <w:p w14:paraId="0996BC25" w14:textId="77777777" w:rsidR="006137B0" w:rsidRDefault="006137B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40CA2" w14:textId="77777777" w:rsidR="000459CB" w:rsidRDefault="000459CB" w:rsidP="00A643C0">
      <w:pPr>
        <w:spacing w:after="0" w:line="240" w:lineRule="auto"/>
      </w:pPr>
      <w:r>
        <w:separator/>
      </w:r>
    </w:p>
  </w:footnote>
  <w:footnote w:type="continuationSeparator" w:id="0">
    <w:p w14:paraId="2E9E1C6B" w14:textId="77777777" w:rsidR="000459CB" w:rsidRDefault="000459CB" w:rsidP="00A64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C3BDD" w14:textId="022E4AF6" w:rsidR="0052021A" w:rsidRPr="00D53977" w:rsidRDefault="0077587F" w:rsidP="00AF4743">
    <w:r>
      <w:rPr>
        <w:noProof/>
        <w:lang w:val="es-MX" w:eastAsia="es-MX"/>
      </w:rPr>
      <w:drawing>
        <wp:anchor distT="0" distB="0" distL="114300" distR="114300" simplePos="0" relativeHeight="251662336" behindDoc="0" locked="0" layoutInCell="1" allowOverlap="1" wp14:anchorId="6DF59529" wp14:editId="5C1D0822">
          <wp:simplePos x="0" y="0"/>
          <wp:positionH relativeFrom="column">
            <wp:posOffset>-154940</wp:posOffset>
          </wp:positionH>
          <wp:positionV relativeFrom="paragraph">
            <wp:posOffset>-104140</wp:posOffset>
          </wp:positionV>
          <wp:extent cx="1330257" cy="682467"/>
          <wp:effectExtent l="0" t="0" r="3810" b="381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r="20045"/>
                  <a:stretch>
                    <a:fillRect/>
                  </a:stretch>
                </pic:blipFill>
                <pic:spPr bwMode="auto">
                  <a:xfrm>
                    <a:off x="0" y="0"/>
                    <a:ext cx="1330257" cy="6824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427DA">
      <w:rPr>
        <w:noProof/>
        <w:lang w:val="es-MX" w:eastAsia="es-MX"/>
      </w:rPr>
      <w:drawing>
        <wp:anchor distT="0" distB="0" distL="114300" distR="114300" simplePos="0" relativeHeight="251663360" behindDoc="0" locked="0" layoutInCell="1" allowOverlap="1" wp14:anchorId="74015796" wp14:editId="49335BA9">
          <wp:simplePos x="0" y="0"/>
          <wp:positionH relativeFrom="margin">
            <wp:posOffset>4330065</wp:posOffset>
          </wp:positionH>
          <wp:positionV relativeFrom="paragraph">
            <wp:posOffset>-135256</wp:posOffset>
          </wp:positionV>
          <wp:extent cx="1507948" cy="84772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C  Y  SNT.png"/>
                  <pic:cNvPicPr/>
                </pic:nvPicPr>
                <pic:blipFill rotWithShape="1">
                  <a:blip r:embed="rId2">
                    <a:extLst>
                      <a:ext uri="{28A0092B-C50C-407E-A947-70E740481C1C}">
                        <a14:useLocalDpi xmlns:a14="http://schemas.microsoft.com/office/drawing/2010/main" val="0"/>
                      </a:ext>
                    </a:extLst>
                  </a:blip>
                  <a:srcRect l="77451"/>
                  <a:stretch/>
                </pic:blipFill>
                <pic:spPr bwMode="auto">
                  <a:xfrm>
                    <a:off x="0" y="0"/>
                    <a:ext cx="1519059" cy="8539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B170F1" w14:textId="1E815FA4" w:rsidR="0052021A" w:rsidRPr="0079770D" w:rsidRDefault="0052021A" w:rsidP="00C427DA">
    <w:pPr>
      <w:spacing w:after="0" w:line="240" w:lineRule="auto"/>
      <w:jc w:val="center"/>
      <w:rPr>
        <w:rFonts w:ascii="Arial" w:hAnsi="Arial" w:cs="Arial"/>
        <w:b/>
        <w:color w:val="808080"/>
        <w:sz w:val="24"/>
        <w:szCs w:val="24"/>
        <w:lang w:eastAsia="es-ES"/>
      </w:rPr>
    </w:pPr>
    <w:r w:rsidRPr="0079770D">
      <w:rPr>
        <w:rFonts w:ascii="Arial" w:hAnsi="Arial" w:cs="Arial"/>
        <w:b/>
        <w:color w:val="808080"/>
        <w:sz w:val="24"/>
        <w:szCs w:val="24"/>
        <w:lang w:eastAsia="es-ES"/>
      </w:rPr>
      <w:t xml:space="preserve">COMISIÓN DE </w:t>
    </w:r>
    <w:r w:rsidR="0079770D" w:rsidRPr="0079770D">
      <w:rPr>
        <w:rFonts w:ascii="Arial" w:hAnsi="Arial" w:cs="Arial"/>
        <w:b/>
        <w:color w:val="808080"/>
        <w:sz w:val="24"/>
        <w:szCs w:val="24"/>
        <w:lang w:eastAsia="es-ES"/>
      </w:rPr>
      <w:t>RENDICIÓN DE CUENTAS</w:t>
    </w:r>
    <w:r w:rsidR="0077587F">
      <w:rPr>
        <w:rFonts w:ascii="Arial" w:hAnsi="Arial" w:cs="Arial"/>
        <w:b/>
        <w:color w:val="808080"/>
        <w:sz w:val="24"/>
        <w:szCs w:val="24"/>
        <w:lang w:eastAsia="es-ES"/>
      </w:rPr>
      <w:t xml:space="preserve">                  </w:t>
    </w:r>
  </w:p>
  <w:p w14:paraId="6646975A" w14:textId="00F32CC0" w:rsidR="0052021A" w:rsidRDefault="0052021A">
    <w:pPr>
      <w:pStyle w:val="Encabezado"/>
    </w:pPr>
  </w:p>
  <w:p w14:paraId="0C088317" w14:textId="77777777" w:rsidR="0073159C" w:rsidRDefault="0073159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EE8"/>
    <w:multiLevelType w:val="multilevel"/>
    <w:tmpl w:val="6CA436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2541CD"/>
    <w:multiLevelType w:val="multilevel"/>
    <w:tmpl w:val="30BAD6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A149D8"/>
    <w:multiLevelType w:val="hybridMultilevel"/>
    <w:tmpl w:val="2DCEC7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5E56FC"/>
    <w:multiLevelType w:val="hybridMultilevel"/>
    <w:tmpl w:val="A48E763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BC25B6"/>
    <w:multiLevelType w:val="hybridMultilevel"/>
    <w:tmpl w:val="442E1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0174BC"/>
    <w:multiLevelType w:val="hybridMultilevel"/>
    <w:tmpl w:val="C9F433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65C1F66"/>
    <w:multiLevelType w:val="multilevel"/>
    <w:tmpl w:val="6A5257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D756036"/>
    <w:multiLevelType w:val="multilevel"/>
    <w:tmpl w:val="750CB2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29C23C4"/>
    <w:multiLevelType w:val="hybridMultilevel"/>
    <w:tmpl w:val="151E9EE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681A02"/>
    <w:multiLevelType w:val="hybridMultilevel"/>
    <w:tmpl w:val="92C4DEC0"/>
    <w:lvl w:ilvl="0" w:tplc="3398AE4E">
      <w:start w:val="5"/>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6E4EAC"/>
    <w:multiLevelType w:val="multilevel"/>
    <w:tmpl w:val="D8609C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BDA7AAF"/>
    <w:multiLevelType w:val="hybridMultilevel"/>
    <w:tmpl w:val="82EC16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5604F79"/>
    <w:multiLevelType w:val="multilevel"/>
    <w:tmpl w:val="4BE291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6EA6328"/>
    <w:multiLevelType w:val="hybridMultilevel"/>
    <w:tmpl w:val="927C17A8"/>
    <w:lvl w:ilvl="0" w:tplc="3398AE4E">
      <w:start w:val="5"/>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39540A"/>
    <w:multiLevelType w:val="multilevel"/>
    <w:tmpl w:val="B972C0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B500D22"/>
    <w:multiLevelType w:val="multilevel"/>
    <w:tmpl w:val="2028FE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C7B5AF8"/>
    <w:multiLevelType w:val="multilevel"/>
    <w:tmpl w:val="5F0A91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E240B5B"/>
    <w:multiLevelType w:val="multilevel"/>
    <w:tmpl w:val="AEAEBD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5"/>
  </w:num>
  <w:num w:numId="3">
    <w:abstractNumId w:val="8"/>
  </w:num>
  <w:num w:numId="4">
    <w:abstractNumId w:val="16"/>
  </w:num>
  <w:num w:numId="5">
    <w:abstractNumId w:val="17"/>
  </w:num>
  <w:num w:numId="6">
    <w:abstractNumId w:val="6"/>
  </w:num>
  <w:num w:numId="7">
    <w:abstractNumId w:val="14"/>
  </w:num>
  <w:num w:numId="8">
    <w:abstractNumId w:val="12"/>
  </w:num>
  <w:num w:numId="9">
    <w:abstractNumId w:val="10"/>
  </w:num>
  <w:num w:numId="10">
    <w:abstractNumId w:val="1"/>
  </w:num>
  <w:num w:numId="11">
    <w:abstractNumId w:val="7"/>
  </w:num>
  <w:num w:numId="12">
    <w:abstractNumId w:val="15"/>
  </w:num>
  <w:num w:numId="13">
    <w:abstractNumId w:val="2"/>
  </w:num>
  <w:num w:numId="14">
    <w:abstractNumId w:val="11"/>
  </w:num>
  <w:num w:numId="15">
    <w:abstractNumId w:val="9"/>
  </w:num>
  <w:num w:numId="16">
    <w:abstractNumId w:val="3"/>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6F3"/>
    <w:rsid w:val="000101F6"/>
    <w:rsid w:val="00011D6E"/>
    <w:rsid w:val="0001356A"/>
    <w:rsid w:val="00016DEC"/>
    <w:rsid w:val="00027106"/>
    <w:rsid w:val="00031C44"/>
    <w:rsid w:val="00034A7C"/>
    <w:rsid w:val="00036C6A"/>
    <w:rsid w:val="000459CB"/>
    <w:rsid w:val="00057153"/>
    <w:rsid w:val="00057A5B"/>
    <w:rsid w:val="000A5A24"/>
    <w:rsid w:val="000A64EE"/>
    <w:rsid w:val="000A6A0C"/>
    <w:rsid w:val="000A75C0"/>
    <w:rsid w:val="000D0BBE"/>
    <w:rsid w:val="000E0488"/>
    <w:rsid w:val="000E66F3"/>
    <w:rsid w:val="000F60AA"/>
    <w:rsid w:val="0011220B"/>
    <w:rsid w:val="001122DB"/>
    <w:rsid w:val="001334D5"/>
    <w:rsid w:val="00156FBC"/>
    <w:rsid w:val="00192DB6"/>
    <w:rsid w:val="00194AC7"/>
    <w:rsid w:val="00194CA1"/>
    <w:rsid w:val="00195F41"/>
    <w:rsid w:val="001A29AA"/>
    <w:rsid w:val="001B47E5"/>
    <w:rsid w:val="001C2865"/>
    <w:rsid w:val="001C5552"/>
    <w:rsid w:val="001E1480"/>
    <w:rsid w:val="001F005E"/>
    <w:rsid w:val="002275F1"/>
    <w:rsid w:val="002362B8"/>
    <w:rsid w:val="00240E70"/>
    <w:rsid w:val="00250951"/>
    <w:rsid w:val="002564A6"/>
    <w:rsid w:val="002669FC"/>
    <w:rsid w:val="00281A4E"/>
    <w:rsid w:val="002C3CDA"/>
    <w:rsid w:val="002C4D6B"/>
    <w:rsid w:val="002D444B"/>
    <w:rsid w:val="002F2E84"/>
    <w:rsid w:val="002F61C1"/>
    <w:rsid w:val="002F6F43"/>
    <w:rsid w:val="00300D8B"/>
    <w:rsid w:val="00310FEA"/>
    <w:rsid w:val="0032000F"/>
    <w:rsid w:val="00322AC9"/>
    <w:rsid w:val="00331E46"/>
    <w:rsid w:val="003338BB"/>
    <w:rsid w:val="00333D56"/>
    <w:rsid w:val="00335083"/>
    <w:rsid w:val="00337FE7"/>
    <w:rsid w:val="00351774"/>
    <w:rsid w:val="00356DEA"/>
    <w:rsid w:val="00360E2A"/>
    <w:rsid w:val="00372D02"/>
    <w:rsid w:val="003738C1"/>
    <w:rsid w:val="0037728D"/>
    <w:rsid w:val="00383760"/>
    <w:rsid w:val="0039043C"/>
    <w:rsid w:val="0039202C"/>
    <w:rsid w:val="0039205C"/>
    <w:rsid w:val="003B7286"/>
    <w:rsid w:val="003C5A0C"/>
    <w:rsid w:val="003D3B73"/>
    <w:rsid w:val="00402D92"/>
    <w:rsid w:val="00427444"/>
    <w:rsid w:val="00432B11"/>
    <w:rsid w:val="00456886"/>
    <w:rsid w:val="00457C74"/>
    <w:rsid w:val="00461F55"/>
    <w:rsid w:val="00494364"/>
    <w:rsid w:val="004A1544"/>
    <w:rsid w:val="004A1B8F"/>
    <w:rsid w:val="004A3004"/>
    <w:rsid w:val="004A6F68"/>
    <w:rsid w:val="004B5EC9"/>
    <w:rsid w:val="004B730E"/>
    <w:rsid w:val="004C66AD"/>
    <w:rsid w:val="004C6BE6"/>
    <w:rsid w:val="004D3357"/>
    <w:rsid w:val="004E2DC4"/>
    <w:rsid w:val="004E4E5B"/>
    <w:rsid w:val="004F0C35"/>
    <w:rsid w:val="004F3CBD"/>
    <w:rsid w:val="004F4BEC"/>
    <w:rsid w:val="004F572D"/>
    <w:rsid w:val="00514A3C"/>
    <w:rsid w:val="0052021A"/>
    <w:rsid w:val="00526915"/>
    <w:rsid w:val="0053001D"/>
    <w:rsid w:val="00534B1E"/>
    <w:rsid w:val="0056235C"/>
    <w:rsid w:val="00564896"/>
    <w:rsid w:val="00590B16"/>
    <w:rsid w:val="0059250A"/>
    <w:rsid w:val="005A0BB8"/>
    <w:rsid w:val="005A56F3"/>
    <w:rsid w:val="005A68AB"/>
    <w:rsid w:val="005B7D96"/>
    <w:rsid w:val="005C46C5"/>
    <w:rsid w:val="005C6E2F"/>
    <w:rsid w:val="005D7619"/>
    <w:rsid w:val="005E0A30"/>
    <w:rsid w:val="005E3F50"/>
    <w:rsid w:val="005F4E9D"/>
    <w:rsid w:val="00604B64"/>
    <w:rsid w:val="006137B0"/>
    <w:rsid w:val="00621502"/>
    <w:rsid w:val="00622D15"/>
    <w:rsid w:val="0063608D"/>
    <w:rsid w:val="00637F9F"/>
    <w:rsid w:val="0064520D"/>
    <w:rsid w:val="006550D0"/>
    <w:rsid w:val="00656E50"/>
    <w:rsid w:val="006571B7"/>
    <w:rsid w:val="00657807"/>
    <w:rsid w:val="006858A6"/>
    <w:rsid w:val="006B43A4"/>
    <w:rsid w:val="006B6483"/>
    <w:rsid w:val="006C7AD2"/>
    <w:rsid w:val="006D11D3"/>
    <w:rsid w:val="006E6015"/>
    <w:rsid w:val="006F589B"/>
    <w:rsid w:val="006F5C3E"/>
    <w:rsid w:val="0073159C"/>
    <w:rsid w:val="0074680C"/>
    <w:rsid w:val="00755401"/>
    <w:rsid w:val="00760E56"/>
    <w:rsid w:val="0077587F"/>
    <w:rsid w:val="007777D1"/>
    <w:rsid w:val="00782401"/>
    <w:rsid w:val="007861BF"/>
    <w:rsid w:val="00787C32"/>
    <w:rsid w:val="00790E00"/>
    <w:rsid w:val="0079770D"/>
    <w:rsid w:val="007A04A5"/>
    <w:rsid w:val="007B1848"/>
    <w:rsid w:val="007C0483"/>
    <w:rsid w:val="007C24C0"/>
    <w:rsid w:val="007D4E96"/>
    <w:rsid w:val="007D72EE"/>
    <w:rsid w:val="007E4107"/>
    <w:rsid w:val="007E75C6"/>
    <w:rsid w:val="00813C5A"/>
    <w:rsid w:val="008419BD"/>
    <w:rsid w:val="00845E38"/>
    <w:rsid w:val="0084731C"/>
    <w:rsid w:val="00861AE7"/>
    <w:rsid w:val="0087085A"/>
    <w:rsid w:val="008726A3"/>
    <w:rsid w:val="00882562"/>
    <w:rsid w:val="00891A6E"/>
    <w:rsid w:val="00893D1B"/>
    <w:rsid w:val="00894661"/>
    <w:rsid w:val="008A7758"/>
    <w:rsid w:val="008B08FD"/>
    <w:rsid w:val="008B38C4"/>
    <w:rsid w:val="008C3A40"/>
    <w:rsid w:val="008C3D03"/>
    <w:rsid w:val="008C436D"/>
    <w:rsid w:val="008C5849"/>
    <w:rsid w:val="008C585D"/>
    <w:rsid w:val="008E6FB1"/>
    <w:rsid w:val="008E7AE2"/>
    <w:rsid w:val="008F02FC"/>
    <w:rsid w:val="008F6425"/>
    <w:rsid w:val="008F7F96"/>
    <w:rsid w:val="00903B65"/>
    <w:rsid w:val="00904DBA"/>
    <w:rsid w:val="00905D70"/>
    <w:rsid w:val="0091265D"/>
    <w:rsid w:val="00933463"/>
    <w:rsid w:val="009517C0"/>
    <w:rsid w:val="00973812"/>
    <w:rsid w:val="0098123B"/>
    <w:rsid w:val="009925AD"/>
    <w:rsid w:val="00997967"/>
    <w:rsid w:val="009A7D0D"/>
    <w:rsid w:val="009B2C46"/>
    <w:rsid w:val="009C53FE"/>
    <w:rsid w:val="009C602E"/>
    <w:rsid w:val="009D57DA"/>
    <w:rsid w:val="009D637E"/>
    <w:rsid w:val="009E0AE2"/>
    <w:rsid w:val="00A0284D"/>
    <w:rsid w:val="00A14EAE"/>
    <w:rsid w:val="00A15237"/>
    <w:rsid w:val="00A4796C"/>
    <w:rsid w:val="00A50951"/>
    <w:rsid w:val="00A643C0"/>
    <w:rsid w:val="00A64C53"/>
    <w:rsid w:val="00A702D0"/>
    <w:rsid w:val="00A82405"/>
    <w:rsid w:val="00A9025F"/>
    <w:rsid w:val="00AC05B3"/>
    <w:rsid w:val="00AC4F58"/>
    <w:rsid w:val="00AC5CE9"/>
    <w:rsid w:val="00AC6053"/>
    <w:rsid w:val="00AC7AC1"/>
    <w:rsid w:val="00AD5D6C"/>
    <w:rsid w:val="00AE199F"/>
    <w:rsid w:val="00AE220A"/>
    <w:rsid w:val="00AE7ACC"/>
    <w:rsid w:val="00AF4743"/>
    <w:rsid w:val="00B1202C"/>
    <w:rsid w:val="00B560F2"/>
    <w:rsid w:val="00B603EA"/>
    <w:rsid w:val="00B638E3"/>
    <w:rsid w:val="00B70EAC"/>
    <w:rsid w:val="00B82E12"/>
    <w:rsid w:val="00B85B06"/>
    <w:rsid w:val="00B95222"/>
    <w:rsid w:val="00B95280"/>
    <w:rsid w:val="00BA1D43"/>
    <w:rsid w:val="00BB2E29"/>
    <w:rsid w:val="00BC24A0"/>
    <w:rsid w:val="00BC5B84"/>
    <w:rsid w:val="00BD20BD"/>
    <w:rsid w:val="00BE2CC3"/>
    <w:rsid w:val="00BE727C"/>
    <w:rsid w:val="00BF242B"/>
    <w:rsid w:val="00C00CD0"/>
    <w:rsid w:val="00C05BE2"/>
    <w:rsid w:val="00C064A4"/>
    <w:rsid w:val="00C10CA6"/>
    <w:rsid w:val="00C14AB4"/>
    <w:rsid w:val="00C1614B"/>
    <w:rsid w:val="00C1748C"/>
    <w:rsid w:val="00C208A7"/>
    <w:rsid w:val="00C20D28"/>
    <w:rsid w:val="00C304D0"/>
    <w:rsid w:val="00C40582"/>
    <w:rsid w:val="00C427DA"/>
    <w:rsid w:val="00C512EA"/>
    <w:rsid w:val="00C638D9"/>
    <w:rsid w:val="00C71257"/>
    <w:rsid w:val="00C73A2B"/>
    <w:rsid w:val="00C87B14"/>
    <w:rsid w:val="00CA3567"/>
    <w:rsid w:val="00CA46FC"/>
    <w:rsid w:val="00CB095C"/>
    <w:rsid w:val="00CB56B7"/>
    <w:rsid w:val="00CC0254"/>
    <w:rsid w:val="00CD3D5C"/>
    <w:rsid w:val="00CE2DAA"/>
    <w:rsid w:val="00CE3FA8"/>
    <w:rsid w:val="00CF32BC"/>
    <w:rsid w:val="00CF479C"/>
    <w:rsid w:val="00D12330"/>
    <w:rsid w:val="00D133E1"/>
    <w:rsid w:val="00D153FD"/>
    <w:rsid w:val="00D16FE1"/>
    <w:rsid w:val="00D21B90"/>
    <w:rsid w:val="00D21CEB"/>
    <w:rsid w:val="00D37EFD"/>
    <w:rsid w:val="00D4096A"/>
    <w:rsid w:val="00D41B6D"/>
    <w:rsid w:val="00D45BA7"/>
    <w:rsid w:val="00D50348"/>
    <w:rsid w:val="00D61B1B"/>
    <w:rsid w:val="00D847FE"/>
    <w:rsid w:val="00D90482"/>
    <w:rsid w:val="00D977C7"/>
    <w:rsid w:val="00DA13E6"/>
    <w:rsid w:val="00DA4C4B"/>
    <w:rsid w:val="00DC5680"/>
    <w:rsid w:val="00DD30A1"/>
    <w:rsid w:val="00DF410A"/>
    <w:rsid w:val="00DF5A12"/>
    <w:rsid w:val="00E022BF"/>
    <w:rsid w:val="00E15D53"/>
    <w:rsid w:val="00E36089"/>
    <w:rsid w:val="00E439CD"/>
    <w:rsid w:val="00E53DA1"/>
    <w:rsid w:val="00E55F59"/>
    <w:rsid w:val="00E70328"/>
    <w:rsid w:val="00E70427"/>
    <w:rsid w:val="00E77AB2"/>
    <w:rsid w:val="00EA7641"/>
    <w:rsid w:val="00EB1AF8"/>
    <w:rsid w:val="00EB67BE"/>
    <w:rsid w:val="00EC2B46"/>
    <w:rsid w:val="00EC4D08"/>
    <w:rsid w:val="00ED5D28"/>
    <w:rsid w:val="00EF3BE7"/>
    <w:rsid w:val="00F01EEA"/>
    <w:rsid w:val="00F040FA"/>
    <w:rsid w:val="00F0644E"/>
    <w:rsid w:val="00F1127A"/>
    <w:rsid w:val="00F21615"/>
    <w:rsid w:val="00F21769"/>
    <w:rsid w:val="00F3412D"/>
    <w:rsid w:val="00F42689"/>
    <w:rsid w:val="00F435D3"/>
    <w:rsid w:val="00F45836"/>
    <w:rsid w:val="00F47BF9"/>
    <w:rsid w:val="00F51B3F"/>
    <w:rsid w:val="00F642E3"/>
    <w:rsid w:val="00F67645"/>
    <w:rsid w:val="00F706D2"/>
    <w:rsid w:val="00F71EF0"/>
    <w:rsid w:val="00F816C4"/>
    <w:rsid w:val="00FC383C"/>
    <w:rsid w:val="00FD51C4"/>
    <w:rsid w:val="00FD5D2F"/>
    <w:rsid w:val="00FE300E"/>
    <w:rsid w:val="00FE3F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5B39D"/>
  <w15:docId w15:val="{04DBB14E-9E3D-49BB-BFA6-13B52A94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B06"/>
  </w:style>
  <w:style w:type="paragraph" w:styleId="Ttulo2">
    <w:name w:val="heading 2"/>
    <w:basedOn w:val="Normal"/>
    <w:next w:val="Normal"/>
    <w:link w:val="Ttulo2Car"/>
    <w:qFormat/>
    <w:rsid w:val="00AF4743"/>
    <w:pPr>
      <w:keepNext/>
      <w:spacing w:after="0" w:line="240" w:lineRule="auto"/>
      <w:jc w:val="right"/>
      <w:outlineLvl w:val="1"/>
    </w:pPr>
    <w:rPr>
      <w:rFonts w:ascii="Arial" w:eastAsia="Times New Roman" w:hAnsi="Arial" w:cs="Times New Roman"/>
      <w:b/>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66F3"/>
    <w:pPr>
      <w:ind w:left="720"/>
      <w:contextualSpacing/>
    </w:pPr>
  </w:style>
  <w:style w:type="character" w:styleId="Hipervnculo">
    <w:name w:val="Hyperlink"/>
    <w:basedOn w:val="Fuentedeprrafopredeter"/>
    <w:uiPriority w:val="99"/>
    <w:unhideWhenUsed/>
    <w:rsid w:val="000E66F3"/>
    <w:rPr>
      <w:color w:val="0000FF" w:themeColor="hyperlink"/>
      <w:u w:val="single"/>
    </w:rPr>
  </w:style>
  <w:style w:type="table" w:styleId="Tablaconcuadrcula">
    <w:name w:val="Table Grid"/>
    <w:basedOn w:val="Tablanormal"/>
    <w:uiPriority w:val="59"/>
    <w:rsid w:val="00AE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643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43C0"/>
  </w:style>
  <w:style w:type="paragraph" w:styleId="Piedepgina">
    <w:name w:val="footer"/>
    <w:basedOn w:val="Normal"/>
    <w:link w:val="PiedepginaCar"/>
    <w:uiPriority w:val="99"/>
    <w:unhideWhenUsed/>
    <w:rsid w:val="00A643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43C0"/>
  </w:style>
  <w:style w:type="character" w:customStyle="1" w:styleId="Ttulo2Car">
    <w:name w:val="Título 2 Car"/>
    <w:basedOn w:val="Fuentedeprrafopredeter"/>
    <w:link w:val="Ttulo2"/>
    <w:rsid w:val="00AF4743"/>
    <w:rPr>
      <w:rFonts w:ascii="Arial" w:eastAsia="Times New Roman" w:hAnsi="Arial" w:cs="Times New Roman"/>
      <w:b/>
      <w:sz w:val="20"/>
      <w:szCs w:val="24"/>
      <w:lang w:eastAsia="es-ES"/>
    </w:rPr>
  </w:style>
  <w:style w:type="paragraph" w:styleId="Textodeglobo">
    <w:name w:val="Balloon Text"/>
    <w:basedOn w:val="Normal"/>
    <w:link w:val="TextodegloboCar"/>
    <w:uiPriority w:val="99"/>
    <w:semiHidden/>
    <w:unhideWhenUsed/>
    <w:rsid w:val="005202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021A"/>
    <w:rPr>
      <w:rFonts w:ascii="Tahoma" w:hAnsi="Tahoma" w:cs="Tahoma"/>
      <w:sz w:val="16"/>
      <w:szCs w:val="16"/>
    </w:rPr>
  </w:style>
  <w:style w:type="table" w:customStyle="1" w:styleId="TableNormal">
    <w:name w:val="Table Normal"/>
    <w:rsid w:val="005F4E9D"/>
    <w:pPr>
      <w:pBdr>
        <w:top w:val="nil"/>
        <w:left w:val="nil"/>
        <w:bottom w:val="nil"/>
        <w:right w:val="nil"/>
        <w:between w:val="nil"/>
      </w:pBdr>
      <w:spacing w:after="0" w:line="240" w:lineRule="auto"/>
    </w:pPr>
    <w:rPr>
      <w:rFonts w:ascii="Calibri" w:eastAsia="Calibri" w:hAnsi="Calibri" w:cs="Calibri"/>
      <w:color w:val="000000"/>
      <w:sz w:val="24"/>
      <w:szCs w:val="24"/>
      <w:lang w:eastAsia="es-ES"/>
    </w:rPr>
    <w:tblPr>
      <w:tblCellMar>
        <w:top w:w="0" w:type="dxa"/>
        <w:left w:w="0" w:type="dxa"/>
        <w:bottom w:w="0" w:type="dxa"/>
        <w:right w:w="0" w:type="dxa"/>
      </w:tblCellMar>
    </w:tblPr>
  </w:style>
  <w:style w:type="paragraph" w:customStyle="1" w:styleId="subt">
    <w:name w:val="subt"/>
    <w:basedOn w:val="Normal"/>
    <w:rsid w:val="004B730E"/>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pie">
    <w:name w:val="footnote text"/>
    <w:basedOn w:val="Normal"/>
    <w:link w:val="TextonotapieCar"/>
    <w:uiPriority w:val="99"/>
    <w:semiHidden/>
    <w:unhideWhenUsed/>
    <w:rsid w:val="009517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17C0"/>
    <w:rPr>
      <w:sz w:val="20"/>
      <w:szCs w:val="20"/>
    </w:rPr>
  </w:style>
  <w:style w:type="character" w:styleId="Refdenotaalpie">
    <w:name w:val="footnote reference"/>
    <w:basedOn w:val="Fuentedeprrafopredeter"/>
    <w:uiPriority w:val="99"/>
    <w:semiHidden/>
    <w:unhideWhenUsed/>
    <w:rsid w:val="009517C0"/>
    <w:rPr>
      <w:vertAlign w:val="superscript"/>
    </w:rPr>
  </w:style>
  <w:style w:type="table" w:customStyle="1" w:styleId="Tablaconcuadrculaclara1">
    <w:name w:val="Tabla con cuadrícula clara1"/>
    <w:basedOn w:val="Tablanormal"/>
    <w:uiPriority w:val="40"/>
    <w:rsid w:val="00333D56"/>
    <w:pPr>
      <w:spacing w:after="0" w:line="240" w:lineRule="auto"/>
    </w:pPr>
    <w:rPr>
      <w:lang w:val="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EF28E-9A12-418C-95BD-CBA51454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685</Words>
  <Characters>3772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INFODF</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D.Aranda</dc:creator>
  <cp:lastModifiedBy>Fabiola Velázquez</cp:lastModifiedBy>
  <cp:revision>2</cp:revision>
  <cp:lastPrinted>2019-12-11T18:43:00Z</cp:lastPrinted>
  <dcterms:created xsi:type="dcterms:W3CDTF">2020-05-15T19:19:00Z</dcterms:created>
  <dcterms:modified xsi:type="dcterms:W3CDTF">2020-05-15T19:19:00Z</dcterms:modified>
</cp:coreProperties>
</file>