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5B" w:rsidRDefault="00B407F6" w:rsidP="00786634">
      <w:pPr>
        <w:spacing w:after="0"/>
        <w:jc w:val="both"/>
        <w:rPr>
          <w:rFonts w:ascii="Palatino Linotype" w:hAnsi="Palatino Linotype"/>
        </w:rPr>
      </w:pPr>
      <w:r w:rsidRPr="00B407F6">
        <w:rPr>
          <w:rFonts w:ascii="Palatino Linotype" w:hAnsi="Palatino Linotype"/>
        </w:rPr>
        <w:t xml:space="preserve">Con </w:t>
      </w:r>
      <w:r w:rsidR="00FD5E6E">
        <w:rPr>
          <w:rFonts w:ascii="Palatino Linotype" w:hAnsi="Palatino Linotype"/>
        </w:rPr>
        <w:t>fundamento en lo dispuesto por los</w:t>
      </w:r>
      <w:r w:rsidRPr="00B407F6">
        <w:rPr>
          <w:rFonts w:ascii="Palatino Linotype" w:hAnsi="Palatino Linotype"/>
        </w:rPr>
        <w:t xml:space="preserve"> artículo</w:t>
      </w:r>
      <w:r w:rsidR="00FD5E6E">
        <w:rPr>
          <w:rFonts w:ascii="Palatino Linotype" w:hAnsi="Palatino Linotype"/>
        </w:rPr>
        <w:t>s</w:t>
      </w:r>
      <w:r w:rsidRPr="00B407F6">
        <w:rPr>
          <w:rFonts w:ascii="Palatino Linotype" w:hAnsi="Palatino Linotype"/>
        </w:rPr>
        <w:t xml:space="preserve"> 134 de la Constitución Política de los Estados Unidos Mexicanos; </w:t>
      </w:r>
      <w:r w:rsidR="008A5120">
        <w:rPr>
          <w:rFonts w:ascii="Palatino Linotype" w:hAnsi="Palatino Linotype"/>
        </w:rPr>
        <w:t xml:space="preserve">129 </w:t>
      </w:r>
      <w:r w:rsidRPr="00B407F6">
        <w:rPr>
          <w:rFonts w:ascii="Palatino Linotype" w:hAnsi="Palatino Linotype"/>
        </w:rPr>
        <w:t>de la Constitución Política del Estado Libre y Sobe</w:t>
      </w:r>
      <w:r w:rsidR="00FD5E6E">
        <w:rPr>
          <w:rFonts w:ascii="Palatino Linotype" w:hAnsi="Palatino Linotype"/>
        </w:rPr>
        <w:t xml:space="preserve">rano de México; 4 fracción XII y </w:t>
      </w:r>
      <w:r w:rsidRPr="00B407F6">
        <w:rPr>
          <w:rFonts w:ascii="Palatino Linotype" w:hAnsi="Palatino Linotype"/>
        </w:rPr>
        <w:t>79 de la Ley General de Contab</w:t>
      </w:r>
      <w:r w:rsidR="0026068D">
        <w:rPr>
          <w:rFonts w:ascii="Palatino Linotype" w:hAnsi="Palatino Linotype"/>
        </w:rPr>
        <w:t>ilidad Gubernamental; 1, fraccio</w:t>
      </w:r>
      <w:r w:rsidRPr="00B407F6">
        <w:rPr>
          <w:rFonts w:ascii="Palatino Linotype" w:hAnsi="Palatino Linotype"/>
        </w:rPr>
        <w:t>n</w:t>
      </w:r>
      <w:r w:rsidR="0026068D">
        <w:rPr>
          <w:rFonts w:ascii="Palatino Linotype" w:hAnsi="Palatino Linotype"/>
        </w:rPr>
        <w:t>es</w:t>
      </w:r>
      <w:r w:rsidRPr="00B407F6">
        <w:rPr>
          <w:rFonts w:ascii="Palatino Linotype" w:hAnsi="Palatino Linotype"/>
        </w:rPr>
        <w:t xml:space="preserve"> II y IV; 7, </w:t>
      </w:r>
      <w:r w:rsidR="00192FCC">
        <w:rPr>
          <w:rFonts w:ascii="Palatino Linotype" w:hAnsi="Palatino Linotype"/>
        </w:rPr>
        <w:t xml:space="preserve">18, </w:t>
      </w:r>
      <w:r w:rsidR="00B969F4">
        <w:rPr>
          <w:rFonts w:ascii="Palatino Linotype" w:hAnsi="Palatino Linotype"/>
        </w:rPr>
        <w:t>20, fracción IV, 37 y</w:t>
      </w:r>
      <w:r w:rsidRPr="00B407F6">
        <w:rPr>
          <w:rFonts w:ascii="Palatino Linotype" w:hAnsi="Palatino Linotype"/>
        </w:rPr>
        <w:t xml:space="preserve"> 38 de la Ley de Planeación del Estado de México y Municipios; 327 y 327-</w:t>
      </w:r>
      <w:r w:rsidR="00FD5E6E">
        <w:rPr>
          <w:rFonts w:ascii="Palatino Linotype" w:hAnsi="Palatino Linotype"/>
        </w:rPr>
        <w:t>A</w:t>
      </w:r>
      <w:r w:rsidRPr="00B407F6">
        <w:rPr>
          <w:rFonts w:ascii="Palatino Linotype" w:hAnsi="Palatino Linotype"/>
        </w:rPr>
        <w:t>, del Código Financiero del Estado de México y Municipios</w:t>
      </w:r>
      <w:r w:rsidR="00AE205C">
        <w:rPr>
          <w:rFonts w:ascii="Palatino Linotype" w:hAnsi="Palatino Linotype"/>
        </w:rPr>
        <w:t xml:space="preserve">, </w:t>
      </w:r>
      <w:r w:rsidRPr="00B407F6">
        <w:rPr>
          <w:rFonts w:ascii="Palatino Linotype" w:hAnsi="Palatino Linotype"/>
        </w:rPr>
        <w:t>se establece el</w:t>
      </w:r>
      <w:r w:rsidR="007C715B">
        <w:rPr>
          <w:rFonts w:ascii="Palatino Linotype" w:hAnsi="Palatino Linotype"/>
        </w:rPr>
        <w:t>:</w:t>
      </w:r>
    </w:p>
    <w:p w:rsidR="007C715B" w:rsidRDefault="007C715B" w:rsidP="00786634">
      <w:pPr>
        <w:spacing w:after="0"/>
        <w:jc w:val="both"/>
        <w:rPr>
          <w:rFonts w:ascii="Palatino Linotype" w:hAnsi="Palatino Linotype"/>
        </w:rPr>
      </w:pPr>
    </w:p>
    <w:p w:rsidR="004C105C" w:rsidRDefault="007C715B" w:rsidP="00786634">
      <w:pPr>
        <w:spacing w:after="0"/>
        <w:jc w:val="both"/>
        <w:rPr>
          <w:rFonts w:ascii="Palatino Linotype" w:hAnsi="Palatino Linotype"/>
          <w:b/>
        </w:rPr>
      </w:pPr>
      <w:r w:rsidRPr="007C715B">
        <w:rPr>
          <w:rFonts w:ascii="Palatino Linotype" w:hAnsi="Palatino Linotype"/>
          <w:b/>
        </w:rPr>
        <w:t xml:space="preserve">PROGRAMA ANUAL DE EVALUACIONES PARA EL EJERCICIO FISCAL </w:t>
      </w:r>
      <w:r w:rsidR="00E81DEC">
        <w:rPr>
          <w:rFonts w:ascii="Palatino Linotype" w:hAnsi="Palatino Linotype"/>
          <w:b/>
        </w:rPr>
        <w:t>2022</w:t>
      </w:r>
      <w:r>
        <w:rPr>
          <w:rFonts w:ascii="Palatino Linotype" w:hAnsi="Palatino Linotype"/>
          <w:b/>
        </w:rPr>
        <w:t xml:space="preserve">, </w:t>
      </w:r>
      <w:r w:rsidRPr="007C715B">
        <w:rPr>
          <w:rFonts w:ascii="Palatino Linotype" w:hAnsi="Palatino Linotype"/>
          <w:b/>
        </w:rPr>
        <w:t>DEL INSTITUTO DE TRANSPARENCIA, ACCESO A LA INFORMACIÓN PÚBLICA Y PROTECCIÓN DE DATOS PERSONALES DE</w:t>
      </w:r>
      <w:r>
        <w:rPr>
          <w:rFonts w:ascii="Palatino Linotype" w:hAnsi="Palatino Linotype"/>
          <w:b/>
        </w:rPr>
        <w:t xml:space="preserve">L ESTADO DE MÉXICO Y MUNICIPIOS </w:t>
      </w:r>
    </w:p>
    <w:p w:rsidR="00786634" w:rsidRPr="007C715B" w:rsidRDefault="00786634" w:rsidP="00786634">
      <w:pPr>
        <w:spacing w:after="0"/>
        <w:jc w:val="both"/>
        <w:rPr>
          <w:rFonts w:ascii="Palatino Linotype" w:hAnsi="Palatino Linotype"/>
          <w:b/>
        </w:rPr>
      </w:pPr>
    </w:p>
    <w:p w:rsidR="007C715B" w:rsidRDefault="006F7050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I. </w:t>
      </w:r>
      <w:r w:rsidR="004C105C" w:rsidRPr="007C715B">
        <w:rPr>
          <w:rFonts w:ascii="Palatino Linotype" w:hAnsi="Palatino Linotype"/>
        </w:rPr>
        <w:t>El Programa Anual de Evaluación para el</w:t>
      </w:r>
      <w:r w:rsidR="00E81DEC">
        <w:rPr>
          <w:rFonts w:ascii="Palatino Linotype" w:hAnsi="Palatino Linotype"/>
        </w:rPr>
        <w:t xml:space="preserve"> Ejercicio Fiscal 2022 (PAE 2022</w:t>
      </w:r>
      <w:r w:rsidR="004C105C" w:rsidRPr="007C715B">
        <w:rPr>
          <w:rFonts w:ascii="Palatino Linotype" w:hAnsi="Palatino Linotype"/>
        </w:rPr>
        <w:t>), se sustenta en lo establec</w:t>
      </w:r>
      <w:r w:rsidR="001E4DF1">
        <w:rPr>
          <w:rFonts w:ascii="Palatino Linotype" w:hAnsi="Palatino Linotype"/>
        </w:rPr>
        <w:t>ido en</w:t>
      </w:r>
      <w:r w:rsidR="004C105C" w:rsidRPr="007C715B">
        <w:rPr>
          <w:rFonts w:ascii="Palatino Linotype" w:hAnsi="Palatino Linotype"/>
        </w:rPr>
        <w:t xml:space="preserve"> los artículos 79 de la Ley Genera</w:t>
      </w:r>
      <w:r w:rsidR="00EF6EC4">
        <w:rPr>
          <w:rFonts w:ascii="Palatino Linotype" w:hAnsi="Palatino Linotype"/>
        </w:rPr>
        <w:t>l de Contabilidad Gubernamental;</w:t>
      </w:r>
      <w:r w:rsidR="004C105C" w:rsidRPr="007C715B">
        <w:rPr>
          <w:rFonts w:ascii="Palatino Linotype" w:hAnsi="Palatino Linotype"/>
        </w:rPr>
        <w:t xml:space="preserve"> </w:t>
      </w:r>
      <w:r w:rsidR="00EF6EC4">
        <w:rPr>
          <w:rFonts w:ascii="Palatino Linotype" w:hAnsi="Palatino Linotype"/>
        </w:rPr>
        <w:t xml:space="preserve">y, </w:t>
      </w:r>
      <w:r w:rsidR="004C105C" w:rsidRPr="007C715B">
        <w:rPr>
          <w:rFonts w:ascii="Palatino Linotype" w:hAnsi="Palatino Linotype"/>
        </w:rPr>
        <w:t>327</w:t>
      </w:r>
      <w:r w:rsidR="007C715B">
        <w:rPr>
          <w:rFonts w:ascii="Palatino Linotype" w:hAnsi="Palatino Linotype"/>
        </w:rPr>
        <w:t xml:space="preserve"> y 327-A</w:t>
      </w:r>
      <w:r w:rsidR="004C105C" w:rsidRPr="007C715B">
        <w:rPr>
          <w:rFonts w:ascii="Palatino Linotype" w:hAnsi="Palatino Linotype"/>
        </w:rPr>
        <w:t xml:space="preserve"> del Código Financiero del Estado de México y Municipios</w:t>
      </w:r>
      <w:r w:rsidR="00F87924">
        <w:rPr>
          <w:rFonts w:ascii="Palatino Linotype" w:hAnsi="Palatino Linotype"/>
        </w:rPr>
        <w:t xml:space="preserve"> (</w:t>
      </w:r>
      <w:r w:rsidR="00F87924" w:rsidRPr="007C715B">
        <w:rPr>
          <w:rFonts w:ascii="Palatino Linotype" w:hAnsi="Palatino Linotype"/>
        </w:rPr>
        <w:t>CFEMyM</w:t>
      </w:r>
      <w:r w:rsidR="00F87924">
        <w:rPr>
          <w:rFonts w:ascii="Palatino Linotype" w:hAnsi="Palatino Linotype"/>
        </w:rPr>
        <w:t>)</w:t>
      </w:r>
      <w:r w:rsidR="007C715B">
        <w:rPr>
          <w:rFonts w:ascii="Palatino Linotype" w:hAnsi="Palatino Linotype"/>
        </w:rPr>
        <w:t>, en cumplimiento a</w:t>
      </w:r>
      <w:r w:rsidR="004C105C" w:rsidRPr="007C715B">
        <w:rPr>
          <w:rFonts w:ascii="Palatino Linotype" w:hAnsi="Palatino Linotype"/>
        </w:rPr>
        <w:t xml:space="preserve">l artículo 134 de la Constitución Política de los Estados Unidos Mexicanos.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II. El PAE tiene como objetivos generales los siguientes: </w:t>
      </w:r>
    </w:p>
    <w:p w:rsidR="007E22FC" w:rsidRDefault="007E22FC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ind w:left="518" w:hanging="234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• Determinar </w:t>
      </w:r>
      <w:r w:rsidR="006F7050">
        <w:rPr>
          <w:rFonts w:ascii="Palatino Linotype" w:hAnsi="Palatino Linotype"/>
        </w:rPr>
        <w:t>el</w:t>
      </w:r>
      <w:r w:rsidRPr="007C715B">
        <w:rPr>
          <w:rFonts w:ascii="Palatino Linotype" w:hAnsi="Palatino Linotype"/>
        </w:rPr>
        <w:t xml:space="preserve"> tipo de evaluación que se aplicarán a</w:t>
      </w:r>
      <w:r w:rsidR="006F7050">
        <w:rPr>
          <w:rFonts w:ascii="Palatino Linotype" w:hAnsi="Palatino Linotype"/>
        </w:rPr>
        <w:t>l programa presupuestario</w:t>
      </w:r>
      <w:r w:rsidRPr="007C715B">
        <w:rPr>
          <w:rFonts w:ascii="Palatino Linotype" w:hAnsi="Palatino Linotype"/>
        </w:rPr>
        <w:t xml:space="preserve"> del </w:t>
      </w:r>
      <w:r w:rsidR="006F7050">
        <w:rPr>
          <w:rFonts w:ascii="Palatino Linotype" w:hAnsi="Palatino Linotype"/>
        </w:rPr>
        <w:t>Instituto de Transparencia, Acceso a la Información Pública y Protección de Datos Personales del Estado de México y Municipios</w:t>
      </w:r>
      <w:r w:rsidRPr="007C715B">
        <w:rPr>
          <w:rFonts w:ascii="Palatino Linotype" w:hAnsi="Palatino Linotype"/>
        </w:rPr>
        <w:t xml:space="preserve">. </w:t>
      </w:r>
    </w:p>
    <w:p w:rsidR="006F7050" w:rsidRDefault="004C105C" w:rsidP="00786634">
      <w:pPr>
        <w:spacing w:after="0"/>
        <w:ind w:left="518" w:hanging="234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• Definir la evaluación como elemento insustituible para presupuestar en base a resultados.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III. Las evaluaciones se realizarán </w:t>
      </w:r>
      <w:r w:rsidR="006F7050">
        <w:rPr>
          <w:rFonts w:ascii="Palatino Linotype" w:hAnsi="Palatino Linotype"/>
        </w:rPr>
        <w:t xml:space="preserve">conforme a </w:t>
      </w:r>
      <w:r w:rsidRPr="007C715B">
        <w:rPr>
          <w:rFonts w:ascii="Palatino Linotype" w:hAnsi="Palatino Linotype"/>
        </w:rPr>
        <w:t>lo establecido en los “Lineamientos Generales para la Evaluación de los Programas Presupuestarios del Gobierno del Estado de México”</w:t>
      </w:r>
      <w:r w:rsidR="006F7050" w:rsidRPr="006F7050">
        <w:rPr>
          <w:rFonts w:ascii="Palatino Linotype" w:hAnsi="Palatino Linotype"/>
        </w:rPr>
        <w:t xml:space="preserve"> </w:t>
      </w:r>
      <w:r w:rsidR="006F7050" w:rsidRPr="007C715B">
        <w:rPr>
          <w:rFonts w:ascii="Palatino Linotype" w:hAnsi="Palatino Linotype"/>
        </w:rPr>
        <w:t>(LGEPPGEM)</w:t>
      </w:r>
      <w:r w:rsidRPr="007C715B">
        <w:rPr>
          <w:rFonts w:ascii="Palatino Linotype" w:hAnsi="Palatino Linotype"/>
        </w:rPr>
        <w:t xml:space="preserve">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IV. Para efectos de los términos utilizados en el presente documento, se entender</w:t>
      </w:r>
      <w:r w:rsidR="006F7050">
        <w:rPr>
          <w:rFonts w:ascii="Palatino Linotype" w:hAnsi="Palatino Linotype"/>
        </w:rPr>
        <w:t>á</w:t>
      </w:r>
      <w:r w:rsidRPr="007C715B">
        <w:rPr>
          <w:rFonts w:ascii="Palatino Linotype" w:hAnsi="Palatino Linotype"/>
        </w:rPr>
        <w:t xml:space="preserve"> de acuerdo a lo establecido en los </w:t>
      </w:r>
      <w:r w:rsidR="006F7050" w:rsidRPr="007C715B">
        <w:rPr>
          <w:rFonts w:ascii="Palatino Linotype" w:hAnsi="Palatino Linotype"/>
        </w:rPr>
        <w:t>LGEPPGEM</w:t>
      </w:r>
      <w:r w:rsidRPr="007C715B">
        <w:rPr>
          <w:rFonts w:ascii="Palatino Linotype" w:hAnsi="Palatino Linotype"/>
        </w:rPr>
        <w:t xml:space="preserve">, publicados en el periódico </w:t>
      </w:r>
      <w:r w:rsidR="00593F73">
        <w:rPr>
          <w:rFonts w:ascii="Palatino Linotype" w:hAnsi="Palatino Linotype"/>
        </w:rPr>
        <w:t xml:space="preserve">oficial “Gaceta del Gobierno”, </w:t>
      </w:r>
      <w:r w:rsidRPr="007C715B">
        <w:rPr>
          <w:rFonts w:ascii="Palatino Linotype" w:hAnsi="Palatino Linotype"/>
        </w:rPr>
        <w:t xml:space="preserve">el </w:t>
      </w:r>
      <w:r w:rsidR="006F7050">
        <w:rPr>
          <w:rFonts w:ascii="Palatino Linotype" w:hAnsi="Palatino Linotype"/>
        </w:rPr>
        <w:t xml:space="preserve">23 </w:t>
      </w:r>
      <w:r w:rsidRPr="007C715B">
        <w:rPr>
          <w:rFonts w:ascii="Palatino Linotype" w:hAnsi="Palatino Linotype"/>
        </w:rPr>
        <w:t xml:space="preserve">de </w:t>
      </w:r>
      <w:r w:rsidR="006F7050">
        <w:rPr>
          <w:rFonts w:ascii="Palatino Linotype" w:hAnsi="Palatino Linotype"/>
        </w:rPr>
        <w:t>febrero de 2017</w:t>
      </w:r>
      <w:r w:rsidR="00786634">
        <w:rPr>
          <w:rFonts w:ascii="Palatino Linotype" w:hAnsi="Palatino Linotype"/>
        </w:rPr>
        <w:t>.</w:t>
      </w:r>
    </w:p>
    <w:p w:rsidR="00A655E5" w:rsidRDefault="00A655E5" w:rsidP="00786634">
      <w:pPr>
        <w:spacing w:after="0"/>
        <w:jc w:val="both"/>
        <w:rPr>
          <w:rFonts w:ascii="Palatino Linotype" w:hAnsi="Palatino Linotype"/>
        </w:rPr>
      </w:pPr>
    </w:p>
    <w:p w:rsidR="00F87924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V. Las evaluaciones se</w:t>
      </w:r>
      <w:r w:rsidR="007E22FC">
        <w:rPr>
          <w:rFonts w:ascii="Palatino Linotype" w:hAnsi="Palatino Linotype"/>
        </w:rPr>
        <w:t xml:space="preserve"> llevarán a cabo </w:t>
      </w:r>
      <w:r w:rsidR="00383C33">
        <w:rPr>
          <w:rFonts w:ascii="Palatino Linotype" w:hAnsi="Palatino Linotype"/>
        </w:rPr>
        <w:t>a través de personas físicas o</w:t>
      </w:r>
      <w:r w:rsidRPr="007C715B">
        <w:rPr>
          <w:rFonts w:ascii="Palatino Linotype" w:hAnsi="Palatino Linotype"/>
        </w:rPr>
        <w:t xml:space="preserve"> morales especializadas y con experiencia probada en la materia que corresponda evaluar, que cumplan con los requisitos de independencia, imparcialidad, transparencia y los demás que se establezcan en las disposiciones aplicables; con cargo al presupuesto del </w:t>
      </w:r>
      <w:r w:rsidR="006F7050">
        <w:rPr>
          <w:rFonts w:ascii="Palatino Linotype" w:hAnsi="Palatino Linotype"/>
        </w:rPr>
        <w:t>Instituto</w:t>
      </w:r>
      <w:r w:rsidRPr="007C715B">
        <w:rPr>
          <w:rFonts w:ascii="Palatino Linotype" w:hAnsi="Palatino Linotype"/>
        </w:rPr>
        <w:t xml:space="preserve">, de conformidad a lo </w:t>
      </w:r>
      <w:r w:rsidRPr="007C715B">
        <w:rPr>
          <w:rFonts w:ascii="Palatino Linotype" w:hAnsi="Palatino Linotype"/>
        </w:rPr>
        <w:lastRenderedPageBreak/>
        <w:t xml:space="preserve">establecido en el Articulo 327-A, inciso III, del CFEMyM y en la disposición DÉCIMA QUINTA de los LGEPPGEM.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2F00B8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VI. </w:t>
      </w:r>
      <w:r w:rsidR="00E60F45">
        <w:rPr>
          <w:rFonts w:ascii="Palatino Linotype" w:hAnsi="Palatino Linotype"/>
        </w:rPr>
        <w:t>A través de las UIPPE</w:t>
      </w:r>
      <w:r w:rsidRPr="007C715B">
        <w:rPr>
          <w:rFonts w:ascii="Palatino Linotype" w:hAnsi="Palatino Linotype"/>
        </w:rPr>
        <w:t xml:space="preserve"> </w:t>
      </w:r>
      <w:r w:rsidR="002F00B8">
        <w:rPr>
          <w:rFonts w:ascii="Palatino Linotype" w:hAnsi="Palatino Linotype"/>
        </w:rPr>
        <w:t>se coordinará</w:t>
      </w:r>
      <w:r w:rsidRPr="007C715B">
        <w:rPr>
          <w:rFonts w:ascii="Palatino Linotype" w:hAnsi="Palatino Linotype"/>
        </w:rPr>
        <w:t xml:space="preserve"> la </w:t>
      </w:r>
      <w:bookmarkStart w:id="0" w:name="_GoBack"/>
      <w:bookmarkEnd w:id="0"/>
      <w:r w:rsidR="00593F73">
        <w:rPr>
          <w:rFonts w:ascii="Palatino Linotype" w:hAnsi="Palatino Linotype"/>
        </w:rPr>
        <w:t>operación y supervisión de la evaluación</w:t>
      </w:r>
      <w:r w:rsidRPr="007C715B">
        <w:rPr>
          <w:rFonts w:ascii="Palatino Linotype" w:hAnsi="Palatino Linotype"/>
        </w:rPr>
        <w:t xml:space="preserve">, considerando el marco normativo vigente en la materia, y lo señalado en la disposición VIGÉSIMA </w:t>
      </w:r>
      <w:r w:rsidR="002F00B8">
        <w:rPr>
          <w:rFonts w:ascii="Palatino Linotype" w:hAnsi="Palatino Linotype"/>
        </w:rPr>
        <w:t>NOVENA</w:t>
      </w:r>
      <w:r w:rsidRPr="007C715B">
        <w:rPr>
          <w:rFonts w:ascii="Palatino Linotype" w:hAnsi="Palatino Linotype"/>
        </w:rPr>
        <w:t xml:space="preserve"> de los LGEPPGEM.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2F00B8" w:rsidRDefault="006C58AA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</w:t>
      </w:r>
      <w:r w:rsidR="004C105C" w:rsidRPr="007C715B">
        <w:rPr>
          <w:rFonts w:ascii="Palatino Linotype" w:hAnsi="Palatino Linotype"/>
        </w:rPr>
        <w:t xml:space="preserve"> la contratación de evaluadores externos, estos deberán cumplir además de lo establecido en el Código Administrativo del Estado de México, con las disposiciones TRIGÉSIMA </w:t>
      </w:r>
      <w:r w:rsidR="002F00B8">
        <w:rPr>
          <w:rFonts w:ascii="Palatino Linotype" w:hAnsi="Palatino Linotype"/>
        </w:rPr>
        <w:t>SEGUNDA</w:t>
      </w:r>
      <w:r w:rsidR="002F00B8" w:rsidRPr="007C715B">
        <w:rPr>
          <w:rFonts w:ascii="Palatino Linotype" w:hAnsi="Palatino Linotype"/>
        </w:rPr>
        <w:t xml:space="preserve"> </w:t>
      </w:r>
      <w:r w:rsidR="004C105C" w:rsidRPr="007C715B">
        <w:rPr>
          <w:rFonts w:ascii="Palatino Linotype" w:hAnsi="Palatino Linotype"/>
        </w:rPr>
        <w:t xml:space="preserve">y TRIGÉSIMA </w:t>
      </w:r>
      <w:r w:rsidR="002F00B8">
        <w:rPr>
          <w:rFonts w:ascii="Palatino Linotype" w:hAnsi="Palatino Linotype"/>
        </w:rPr>
        <w:t xml:space="preserve">TERCERA </w:t>
      </w:r>
      <w:r w:rsidR="004C105C" w:rsidRPr="007C715B">
        <w:rPr>
          <w:rFonts w:ascii="Palatino Linotype" w:hAnsi="Palatino Linotype"/>
        </w:rPr>
        <w:t xml:space="preserve">de los LGEPPGEM.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VII. </w:t>
      </w:r>
      <w:r w:rsidRPr="00C605CF">
        <w:rPr>
          <w:rFonts w:ascii="Palatino Linotype" w:hAnsi="Palatino Linotype"/>
        </w:rPr>
        <w:t xml:space="preserve">Para la </w:t>
      </w:r>
      <w:r w:rsidR="002F00B8" w:rsidRPr="00C605CF">
        <w:rPr>
          <w:rFonts w:ascii="Palatino Linotype" w:hAnsi="Palatino Linotype"/>
        </w:rPr>
        <w:t xml:space="preserve">evaluación del </w:t>
      </w:r>
      <w:r w:rsidRPr="00C605CF">
        <w:rPr>
          <w:rFonts w:ascii="Palatino Linotype" w:hAnsi="Palatino Linotype"/>
        </w:rPr>
        <w:t>programa</w:t>
      </w:r>
      <w:r w:rsidR="004C105C" w:rsidRPr="00C605CF">
        <w:rPr>
          <w:rFonts w:ascii="Palatino Linotype" w:hAnsi="Palatino Linotype"/>
        </w:rPr>
        <w:t xml:space="preserve"> presupuestario</w:t>
      </w:r>
      <w:r w:rsidR="00A655E5" w:rsidRPr="00C605CF">
        <w:rPr>
          <w:rFonts w:ascii="Palatino Linotype" w:hAnsi="Palatino Linotype"/>
        </w:rPr>
        <w:t xml:space="preserve"> </w:t>
      </w:r>
      <w:r w:rsidRPr="00C605CF">
        <w:rPr>
          <w:rFonts w:ascii="Palatino Linotype" w:hAnsi="Palatino Linotype"/>
        </w:rPr>
        <w:t>se aplicarán los Modelos de Términos de Referencia re</w:t>
      </w:r>
      <w:r w:rsidR="00593F73" w:rsidRPr="00C605CF">
        <w:rPr>
          <w:rFonts w:ascii="Palatino Linotype" w:hAnsi="Palatino Linotype"/>
        </w:rPr>
        <w:t>spectivo</w:t>
      </w:r>
      <w:r w:rsidRPr="00C605CF">
        <w:rPr>
          <w:rFonts w:ascii="Palatino Linotype" w:hAnsi="Palatino Linotype"/>
        </w:rPr>
        <w:t xml:space="preserve"> que emita</w:t>
      </w:r>
      <w:r w:rsidR="00143AF2" w:rsidRPr="00C605CF">
        <w:rPr>
          <w:rFonts w:ascii="Palatino Linotype" w:hAnsi="Palatino Linotype"/>
        </w:rPr>
        <w:t xml:space="preserve"> el Instituto de Transparencia</w:t>
      </w:r>
      <w:r w:rsidR="00593F73" w:rsidRPr="00C605CF">
        <w:rPr>
          <w:rFonts w:ascii="Palatino Linotype" w:hAnsi="Palatino Linotype"/>
        </w:rPr>
        <w:t>, conforme a la característica particular</w:t>
      </w:r>
      <w:r w:rsidR="004C105C" w:rsidRPr="00C605CF">
        <w:rPr>
          <w:rFonts w:ascii="Palatino Linotype" w:hAnsi="Palatino Linotype"/>
        </w:rPr>
        <w:t xml:space="preserve"> de </w:t>
      </w:r>
      <w:r w:rsidR="00593F73" w:rsidRPr="00C605CF">
        <w:rPr>
          <w:rFonts w:ascii="Palatino Linotype" w:hAnsi="Palatino Linotype"/>
        </w:rPr>
        <w:t xml:space="preserve">la </w:t>
      </w:r>
      <w:r w:rsidR="004C105C" w:rsidRPr="00C605CF">
        <w:rPr>
          <w:rFonts w:ascii="Palatino Linotype" w:hAnsi="Palatino Linotype"/>
        </w:rPr>
        <w:t xml:space="preserve">evaluación </w:t>
      </w:r>
      <w:r w:rsidR="00593F73" w:rsidRPr="00C605CF">
        <w:rPr>
          <w:rFonts w:ascii="Palatino Linotype" w:hAnsi="Palatino Linotype"/>
        </w:rPr>
        <w:t>y se incluirá</w:t>
      </w:r>
      <w:r w:rsidR="004C105C" w:rsidRPr="00C605CF">
        <w:rPr>
          <w:rFonts w:ascii="Palatino Linotype" w:hAnsi="Palatino Linotype"/>
        </w:rPr>
        <w:t xml:space="preserve"> el objetivo de la eval</w:t>
      </w:r>
      <w:r w:rsidR="00593F73" w:rsidRPr="00C605CF">
        <w:rPr>
          <w:rFonts w:ascii="Palatino Linotype" w:hAnsi="Palatino Linotype"/>
        </w:rPr>
        <w:t>uación, alcance</w:t>
      </w:r>
      <w:r w:rsidR="004C105C" w:rsidRPr="00C605CF">
        <w:rPr>
          <w:rFonts w:ascii="Palatino Linotype" w:hAnsi="Palatino Linotype"/>
        </w:rPr>
        <w:t>, metodología</w:t>
      </w:r>
      <w:r w:rsidRPr="00C605CF">
        <w:rPr>
          <w:rFonts w:ascii="Palatino Linotype" w:hAnsi="Palatino Linotype"/>
        </w:rPr>
        <w:t>,</w:t>
      </w:r>
      <w:r w:rsidR="004C105C" w:rsidRPr="00C605CF">
        <w:rPr>
          <w:rFonts w:ascii="Palatino Linotype" w:hAnsi="Palatino Linotype"/>
        </w:rPr>
        <w:t xml:space="preserve"> perfil del equipo </w:t>
      </w:r>
      <w:r w:rsidRPr="00C605CF">
        <w:rPr>
          <w:rFonts w:ascii="Palatino Linotype" w:hAnsi="Palatino Linotype"/>
        </w:rPr>
        <w:t>evaluador y productos esperados</w:t>
      </w:r>
      <w:r w:rsidR="00C605CF">
        <w:rPr>
          <w:rFonts w:ascii="Palatino Linotype" w:hAnsi="Palatino Linotype"/>
        </w:rPr>
        <w:t>.</w:t>
      </w:r>
    </w:p>
    <w:p w:rsidR="00C605CF" w:rsidRDefault="00C605CF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VIII. </w:t>
      </w:r>
      <w:r w:rsidR="00AC4457">
        <w:rPr>
          <w:rFonts w:ascii="Palatino Linotype" w:hAnsi="Palatino Linotype"/>
        </w:rPr>
        <w:t>El responsable del programa presupuestal, deberá</w:t>
      </w:r>
      <w:r w:rsidRPr="007C715B">
        <w:rPr>
          <w:rFonts w:ascii="Palatino Linotype" w:hAnsi="Palatino Linotype"/>
        </w:rPr>
        <w:t xml:space="preserve"> atender los </w:t>
      </w:r>
      <w:r w:rsidR="006845C2" w:rsidRPr="006845C2">
        <w:rPr>
          <w:rFonts w:ascii="Palatino Linotype" w:hAnsi="Palatino Linotype"/>
        </w:rPr>
        <w:t>Aspectos Susceptibles de Mejora (ASM)</w:t>
      </w:r>
      <w:r w:rsidR="00593F73">
        <w:rPr>
          <w:rFonts w:ascii="Palatino Linotype" w:hAnsi="Palatino Linotype"/>
        </w:rPr>
        <w:t xml:space="preserve"> de las evaluación practicada</w:t>
      </w:r>
      <w:r w:rsidRPr="007C715B">
        <w:rPr>
          <w:rFonts w:ascii="Palatino Linotype" w:hAnsi="Palatino Linotype"/>
        </w:rPr>
        <w:t xml:space="preserve"> mediante la celebración de un "Convenio para la mejora del Desempeño y Resultados Gubernamentales", de conformidad a lo establecido en el Articulo 327-A, inciso</w:t>
      </w:r>
      <w:r w:rsidR="00600CED">
        <w:rPr>
          <w:rFonts w:ascii="Palatino Linotype" w:hAnsi="Palatino Linotype"/>
        </w:rPr>
        <w:t>s</w:t>
      </w:r>
      <w:r w:rsidRPr="007C715B">
        <w:rPr>
          <w:rFonts w:ascii="Palatino Linotype" w:hAnsi="Palatino Linotype"/>
        </w:rPr>
        <w:t xml:space="preserve"> VI y VII, del CFEMyM y la disposición VIGÉSIMA </w:t>
      </w:r>
      <w:r w:rsidR="00C0043F">
        <w:rPr>
          <w:rFonts w:ascii="Palatino Linotype" w:hAnsi="Palatino Linotype"/>
        </w:rPr>
        <w:t>QUINTA</w:t>
      </w:r>
      <w:r w:rsidRPr="007C715B">
        <w:rPr>
          <w:rFonts w:ascii="Palatino Linotype" w:hAnsi="Palatino Linotype"/>
        </w:rPr>
        <w:t xml:space="preserve"> de los LGEPPGEM. 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IX. </w:t>
      </w:r>
      <w:r w:rsidR="00C0043F">
        <w:rPr>
          <w:rFonts w:ascii="Palatino Linotype" w:hAnsi="Palatino Linotype"/>
        </w:rPr>
        <w:t>El resul</w:t>
      </w:r>
      <w:r w:rsidR="00593F73">
        <w:rPr>
          <w:rFonts w:ascii="Palatino Linotype" w:hAnsi="Palatino Linotype"/>
        </w:rPr>
        <w:t xml:space="preserve">tado de la evaluación deberá </w:t>
      </w:r>
      <w:r w:rsidRPr="007C715B">
        <w:rPr>
          <w:rFonts w:ascii="Palatino Linotype" w:hAnsi="Palatino Linotype"/>
        </w:rPr>
        <w:t>dar</w:t>
      </w:r>
      <w:r w:rsidR="00C0043F">
        <w:rPr>
          <w:rFonts w:ascii="Palatino Linotype" w:hAnsi="Palatino Linotype"/>
        </w:rPr>
        <w:t>se</w:t>
      </w:r>
      <w:r w:rsidRPr="007C715B">
        <w:rPr>
          <w:rFonts w:ascii="Palatino Linotype" w:hAnsi="Palatino Linotype"/>
        </w:rPr>
        <w:t xml:space="preserve"> a conocer de forma permanente a través de </w:t>
      </w:r>
      <w:r w:rsidR="00960660">
        <w:rPr>
          <w:rFonts w:ascii="Palatino Linotype" w:hAnsi="Palatino Linotype"/>
        </w:rPr>
        <w:t>la</w:t>
      </w:r>
      <w:r w:rsidRPr="007C715B">
        <w:rPr>
          <w:rFonts w:ascii="Palatino Linotype" w:hAnsi="Palatino Linotype"/>
        </w:rPr>
        <w:t xml:space="preserve"> página</w:t>
      </w:r>
      <w:r w:rsidR="00960660">
        <w:rPr>
          <w:rFonts w:ascii="Palatino Linotype" w:hAnsi="Palatino Linotype"/>
        </w:rPr>
        <w:t xml:space="preserve"> </w:t>
      </w:r>
      <w:r w:rsidRPr="007C715B">
        <w:rPr>
          <w:rFonts w:ascii="Palatino Linotype" w:hAnsi="Palatino Linotype"/>
        </w:rPr>
        <w:t>de Internet, en un lugar visible y de fácil acceso, a más tardar 30 días hábiles</w:t>
      </w:r>
      <w:r w:rsidR="00593F73">
        <w:rPr>
          <w:rFonts w:ascii="Palatino Linotype" w:hAnsi="Palatino Linotype"/>
        </w:rPr>
        <w:t xml:space="preserve"> después de la conclusión de la evaluació</w:t>
      </w:r>
      <w:r w:rsidRPr="007C715B">
        <w:rPr>
          <w:rFonts w:ascii="Palatino Linotype" w:hAnsi="Palatino Linotype"/>
        </w:rPr>
        <w:t>n</w:t>
      </w:r>
      <w:r w:rsidR="00593F73">
        <w:rPr>
          <w:rFonts w:ascii="Palatino Linotype" w:hAnsi="Palatino Linotype"/>
        </w:rPr>
        <w:t>,</w:t>
      </w:r>
      <w:r w:rsidR="00511C3C">
        <w:rPr>
          <w:rFonts w:ascii="Palatino Linotype" w:hAnsi="Palatino Linotype"/>
        </w:rPr>
        <w:t xml:space="preserve"> y antes del último día hábil del ejercicio fiscal</w:t>
      </w:r>
      <w:r w:rsidRPr="007C715B">
        <w:rPr>
          <w:rFonts w:ascii="Palatino Linotype" w:hAnsi="Palatino Linotype"/>
        </w:rPr>
        <w:t xml:space="preserve">. 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X. La evaluación del programa</w:t>
      </w:r>
      <w:r w:rsidR="00C0043F">
        <w:rPr>
          <w:rFonts w:ascii="Palatino Linotype" w:hAnsi="Palatino Linotype"/>
        </w:rPr>
        <w:t xml:space="preserve"> presupuestario</w:t>
      </w:r>
      <w:r w:rsidRPr="007C715B">
        <w:rPr>
          <w:rFonts w:ascii="Palatino Linotype" w:hAnsi="Palatino Linotype"/>
        </w:rPr>
        <w:t xml:space="preserve"> deberá realizarse conforme a los estándares normativos, mediante trabajo de campo y administración</w:t>
      </w:r>
      <w:r w:rsidR="001E39B4">
        <w:rPr>
          <w:rFonts w:ascii="Palatino Linotype" w:hAnsi="Palatino Linotype"/>
        </w:rPr>
        <w:t xml:space="preserve"> (gabinete)</w:t>
      </w:r>
      <w:r w:rsidRPr="007C715B">
        <w:rPr>
          <w:rFonts w:ascii="Palatino Linotype" w:hAnsi="Palatino Linotype"/>
        </w:rPr>
        <w:t xml:space="preserve"> cuando por su naturaleza así se determine; y del cual se integrará el informe correspondiente que contendrá un análisis, conforme a los criterios establecidos en la disposición DÉCIMA SÉPTIMA de los LGEPPGEM. </w:t>
      </w:r>
    </w:p>
    <w:p w:rsidR="00BA443A" w:rsidRDefault="00BA443A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B03F2F" w:rsidRPr="00A655E5" w:rsidRDefault="00A655E5" w:rsidP="00B03F2F">
      <w:pPr>
        <w:spacing w:after="0"/>
        <w:jc w:val="center"/>
        <w:rPr>
          <w:rFonts w:ascii="Palatino Linotype" w:hAnsi="Palatino Linotype"/>
          <w:b/>
          <w:sz w:val="28"/>
        </w:rPr>
      </w:pPr>
      <w:r w:rsidRPr="00A655E5">
        <w:rPr>
          <w:rFonts w:ascii="Palatino Linotype" w:hAnsi="Palatino Linotype"/>
          <w:b/>
          <w:sz w:val="28"/>
        </w:rPr>
        <w:lastRenderedPageBreak/>
        <w:t>D</w:t>
      </w:r>
      <w:r w:rsidR="00B03F2F" w:rsidRPr="00A655E5">
        <w:rPr>
          <w:rFonts w:ascii="Palatino Linotype" w:hAnsi="Palatino Linotype"/>
          <w:b/>
          <w:sz w:val="28"/>
        </w:rPr>
        <w:t>ATOS GENERALES DEL PAE</w:t>
      </w:r>
    </w:p>
    <w:p w:rsidR="00B03F2F" w:rsidRPr="00B03F2F" w:rsidRDefault="00B03F2F" w:rsidP="00B03F2F">
      <w:pPr>
        <w:spacing w:after="0"/>
        <w:jc w:val="center"/>
        <w:rPr>
          <w:rFonts w:ascii="Palatino Linotype" w:hAnsi="Palatino Linotype"/>
          <w:b/>
        </w:rPr>
      </w:pPr>
    </w:p>
    <w:p w:rsidR="00960660" w:rsidRPr="002239CE" w:rsidRDefault="00960660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  <w:sz w:val="24"/>
        </w:rPr>
        <w:t>Programa Presupuestario</w:t>
      </w:r>
      <w:r w:rsidRPr="002239CE">
        <w:rPr>
          <w:rFonts w:ascii="Palatino Linotype" w:hAnsi="Palatino Linotype"/>
          <w:b/>
          <w:smallCaps/>
        </w:rPr>
        <w:t>:</w:t>
      </w:r>
    </w:p>
    <w:p w:rsidR="0084742C" w:rsidRDefault="0084742C" w:rsidP="00786634">
      <w:pPr>
        <w:spacing w:after="0"/>
        <w:jc w:val="both"/>
        <w:rPr>
          <w:rFonts w:ascii="Palatino Linotype" w:hAnsi="Palatino Linotype"/>
        </w:rPr>
      </w:pPr>
    </w:p>
    <w:p w:rsidR="00143AF2" w:rsidRDefault="00143AF2" w:rsidP="00786634">
      <w:pPr>
        <w:spacing w:after="0"/>
        <w:jc w:val="both"/>
        <w:rPr>
          <w:rFonts w:ascii="Palatino Linotype" w:hAnsi="Palatino Linotype"/>
        </w:rPr>
      </w:pPr>
      <w:r w:rsidRPr="00143AF2">
        <w:rPr>
          <w:rFonts w:ascii="Palatino Linotype" w:hAnsi="Palatino Linotype"/>
          <w:b/>
        </w:rPr>
        <w:t>010804</w:t>
      </w:r>
      <w:r>
        <w:rPr>
          <w:rFonts w:ascii="Palatino Linotype" w:hAnsi="Palatino Linotype"/>
        </w:rPr>
        <w:t>: Transparencia.</w:t>
      </w:r>
    </w:p>
    <w:p w:rsidR="00143AF2" w:rsidRDefault="00143AF2" w:rsidP="00786634">
      <w:pPr>
        <w:spacing w:after="0"/>
        <w:jc w:val="both"/>
        <w:rPr>
          <w:rFonts w:ascii="Palatino Linotype" w:hAnsi="Palatino Linotype"/>
          <w:b/>
        </w:rPr>
      </w:pPr>
    </w:p>
    <w:p w:rsidR="00960660" w:rsidRDefault="00B03F2F" w:rsidP="00786634">
      <w:pPr>
        <w:spacing w:after="0"/>
        <w:jc w:val="both"/>
      </w:pPr>
      <w:r w:rsidRPr="0084742C">
        <w:rPr>
          <w:rFonts w:ascii="Palatino Linotype" w:hAnsi="Palatino Linotype"/>
          <w:b/>
        </w:rPr>
        <w:t>0108040101</w:t>
      </w:r>
      <w:r>
        <w:rPr>
          <w:rFonts w:ascii="Palatino Linotype" w:hAnsi="Palatino Linotype"/>
        </w:rPr>
        <w:t xml:space="preserve">: </w:t>
      </w:r>
      <w:r w:rsidR="008364D1">
        <w:t>Vinculación ciudadana con la administración pública.</w:t>
      </w:r>
    </w:p>
    <w:p w:rsidR="0084742C" w:rsidRDefault="0084742C" w:rsidP="00786634">
      <w:pPr>
        <w:spacing w:after="0"/>
        <w:jc w:val="both"/>
      </w:pPr>
    </w:p>
    <w:p w:rsidR="008364D1" w:rsidRDefault="0084742C" w:rsidP="00A655E5">
      <w:pPr>
        <w:spacing w:after="0"/>
        <w:jc w:val="both"/>
        <w:rPr>
          <w:rFonts w:ascii="Palatino Linotype" w:hAnsi="Palatino Linotype"/>
        </w:rPr>
      </w:pPr>
      <w:r w:rsidRPr="00A8559A">
        <w:rPr>
          <w:rFonts w:ascii="Palatino Linotype" w:hAnsi="Palatino Linotype"/>
          <w:b/>
          <w:smallCaps/>
        </w:rPr>
        <w:t>Objetivo</w:t>
      </w:r>
      <w:r w:rsidRPr="00A655E5">
        <w:rPr>
          <w:rFonts w:ascii="Palatino Linotype" w:hAnsi="Palatino Linotype"/>
        </w:rPr>
        <w:t xml:space="preserve">: </w:t>
      </w:r>
      <w:r w:rsidR="008364D1" w:rsidRPr="00A655E5">
        <w:rPr>
          <w:rFonts w:ascii="Palatino Linotype" w:hAnsi="Palatino Linotype"/>
        </w:rPr>
        <w:t>Integra el conjunto de actividades encaminadas a proporcionar información gubernamental de interés a la ciudadanía, así como a mantenerla informada sobre los programas especiales, acciones y logros del quehacer gubernamental, mediante procesos de transparencia y rendición de cuentas que propicien una buena interacción entre la población y el gobierno.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Pr="002239CE" w:rsidRDefault="00B03F2F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Tipo de evaluación a Realizar: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9D44C5" w:rsidRDefault="009D44C5" w:rsidP="009D44C5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Evaluación de Consistencia y Resultados</w:t>
      </w:r>
      <w:r w:rsidR="007E1923">
        <w:rPr>
          <w:rFonts w:ascii="Palatino Linotype" w:hAnsi="Palatino Linotype"/>
        </w:rPr>
        <w:t>.</w:t>
      </w:r>
    </w:p>
    <w:p w:rsidR="0084742C" w:rsidRDefault="0084742C" w:rsidP="00786634">
      <w:pPr>
        <w:spacing w:after="0"/>
        <w:jc w:val="both"/>
        <w:rPr>
          <w:rFonts w:ascii="Palatino Linotype" w:hAnsi="Palatino Linotype"/>
        </w:rPr>
      </w:pPr>
    </w:p>
    <w:p w:rsidR="00B03F2F" w:rsidRPr="0084742C" w:rsidRDefault="00B03F2F" w:rsidP="00786634">
      <w:pPr>
        <w:spacing w:after="0"/>
        <w:jc w:val="both"/>
        <w:rPr>
          <w:rFonts w:ascii="Palatino Linotype" w:hAnsi="Palatino Linotype"/>
          <w:smallCaps/>
        </w:rPr>
      </w:pPr>
      <w:r w:rsidRPr="002239CE">
        <w:rPr>
          <w:rFonts w:ascii="Palatino Linotype" w:hAnsi="Palatino Linotype"/>
          <w:b/>
          <w:smallCaps/>
        </w:rPr>
        <w:t xml:space="preserve">Objetivo </w:t>
      </w:r>
      <w:r w:rsidR="00A655E5" w:rsidRPr="002239CE">
        <w:rPr>
          <w:rFonts w:ascii="Palatino Linotype" w:hAnsi="Palatino Linotype"/>
          <w:b/>
          <w:smallCaps/>
        </w:rPr>
        <w:t>General</w:t>
      </w:r>
      <w:r w:rsidRPr="0084742C">
        <w:rPr>
          <w:rFonts w:ascii="Palatino Linotype" w:hAnsi="Palatino Linotype"/>
          <w:smallCaps/>
        </w:rPr>
        <w:t>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1C29FF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</w:t>
      </w:r>
      <w:r w:rsidR="009D44C5">
        <w:rPr>
          <w:rFonts w:ascii="Palatino Linotype" w:hAnsi="Palatino Linotype"/>
        </w:rPr>
        <w:t>Evaluación de Consistencia y Resultados analiza la capacidad institucional, organizacional y de gestión de un programa con la finalidad de proveer información que retroalimente su diseño, gestión y resultados, mediante un análisis de gabinete</w:t>
      </w:r>
      <w:r w:rsidR="009D44C5" w:rsidRPr="00A655E5">
        <w:rPr>
          <w:rFonts w:ascii="Palatino Linotype" w:hAnsi="Palatino Linotype"/>
        </w:rPr>
        <w:t>.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A655E5" w:rsidRPr="002239CE" w:rsidRDefault="00A655E5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Objetivos Específicos:</w:t>
      </w:r>
    </w:p>
    <w:p w:rsidR="00A655E5" w:rsidRDefault="00A655E5" w:rsidP="00786634">
      <w:pPr>
        <w:spacing w:after="0"/>
        <w:jc w:val="both"/>
        <w:rPr>
          <w:rFonts w:ascii="Palatino Linotype" w:hAnsi="Palatino Linotype"/>
          <w:smallCaps/>
        </w:rPr>
      </w:pPr>
    </w:p>
    <w:p w:rsidR="004E4232" w:rsidRPr="009355FE" w:rsidRDefault="009D44C5" w:rsidP="004E4232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Valorar la lógica y congruencia d</w:t>
      </w:r>
      <w:r w:rsidRPr="00496BF7">
        <w:rPr>
          <w:rFonts w:ascii="Palatino Linotype" w:hAnsi="Palatino Linotype"/>
        </w:rPr>
        <w:t>el diseño del programa</w:t>
      </w:r>
      <w:r>
        <w:rPr>
          <w:rFonts w:ascii="Palatino Linotype" w:hAnsi="Palatino Linotype"/>
        </w:rPr>
        <w:t xml:space="preserve"> presupuestario</w:t>
      </w:r>
      <w:r w:rsidRPr="00496BF7">
        <w:rPr>
          <w:rFonts w:ascii="Palatino Linotype" w:hAnsi="Palatino Linotype"/>
        </w:rPr>
        <w:t xml:space="preserve">, su vinculación con </w:t>
      </w:r>
      <w:r>
        <w:rPr>
          <w:rFonts w:ascii="Palatino Linotype" w:hAnsi="Palatino Linotype"/>
        </w:rPr>
        <w:t xml:space="preserve">el Sistema de Planeación Democrática para el Desarrollo del Estado de México, </w:t>
      </w:r>
      <w:r w:rsidRPr="00496BF7">
        <w:rPr>
          <w:rFonts w:ascii="Palatino Linotype" w:hAnsi="Palatino Linotype"/>
        </w:rPr>
        <w:t xml:space="preserve">la planeación sectorial y regional, la consistencia entre el diseño y </w:t>
      </w:r>
      <w:r>
        <w:rPr>
          <w:rFonts w:ascii="Palatino Linotype" w:hAnsi="Palatino Linotype"/>
        </w:rPr>
        <w:t xml:space="preserve">el problema o necesidad de política pública que se atiende, así como con </w:t>
      </w:r>
      <w:r w:rsidRPr="00496BF7">
        <w:rPr>
          <w:rFonts w:ascii="Palatino Linotype" w:hAnsi="Palatino Linotype"/>
        </w:rPr>
        <w:t>la normatividad</w:t>
      </w:r>
      <w:r>
        <w:rPr>
          <w:rFonts w:ascii="Palatino Linotype" w:hAnsi="Palatino Linotype"/>
        </w:rPr>
        <w:t xml:space="preserve"> que lo regula, y </w:t>
      </w:r>
      <w:r w:rsidRPr="00496BF7">
        <w:rPr>
          <w:rFonts w:ascii="Palatino Linotype" w:hAnsi="Palatino Linotype"/>
        </w:rPr>
        <w:t>las posibles complementariedades</w:t>
      </w:r>
      <w:r>
        <w:rPr>
          <w:rFonts w:ascii="Palatino Linotype" w:hAnsi="Palatino Linotype"/>
        </w:rPr>
        <w:t>, riesgos de duplicidad</w:t>
      </w:r>
      <w:r w:rsidRPr="00496BF7">
        <w:rPr>
          <w:rFonts w:ascii="Palatino Linotype" w:hAnsi="Palatino Linotype"/>
        </w:rPr>
        <w:t xml:space="preserve"> y/o coincidencias con otros programas estatales</w:t>
      </w:r>
      <w:r w:rsidR="00CC0B9C">
        <w:rPr>
          <w:rFonts w:ascii="Palatino Linotype" w:hAnsi="Palatino Linotype"/>
        </w:rPr>
        <w:t>.</w:t>
      </w:r>
      <w:r w:rsidR="004E4232" w:rsidRPr="00496BF7">
        <w:rPr>
          <w:rFonts w:ascii="Palatino Linotype" w:hAnsi="Palatino Linotype"/>
        </w:rPr>
        <w:t xml:space="preserve"> </w:t>
      </w:r>
    </w:p>
    <w:p w:rsidR="009355FE" w:rsidRPr="00496BF7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CB3D7E" w:rsidRDefault="009D44C5" w:rsidP="004E4232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Valorar los instrumentos de planeación y orientación a resultados con que cuenta el Programa Presupuestario</w:t>
      </w:r>
      <w:r w:rsidR="00CC0B9C">
        <w:rPr>
          <w:rFonts w:ascii="Palatino Linotype" w:hAnsi="Palatino Linotype" w:cs="Arial"/>
        </w:rPr>
        <w:t>.</w:t>
      </w:r>
    </w:p>
    <w:p w:rsidR="009355FE" w:rsidRPr="009355FE" w:rsidRDefault="009355FE" w:rsidP="009355FE">
      <w:pPr>
        <w:pStyle w:val="Prrafodelista"/>
        <w:rPr>
          <w:rFonts w:ascii="Palatino Linotype" w:hAnsi="Palatino Linotype" w:cs="Arial"/>
        </w:rPr>
      </w:pPr>
    </w:p>
    <w:p w:rsidR="001C4D60" w:rsidRPr="00CB3D7E" w:rsidRDefault="009D44C5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lastRenderedPageBreak/>
        <w:t>Valorar la estrategia de cobertura o la atención de mediano y largo plazo, conforme a la población o área de enfoque objetivo del Programa Presupuestario, así como sus avances</w:t>
      </w:r>
      <w:r w:rsidR="004E4232" w:rsidRPr="00496BF7">
        <w:rPr>
          <w:rFonts w:ascii="Palatino Linotype" w:hAnsi="Palatino Linotype"/>
        </w:rPr>
        <w:t>.</w:t>
      </w:r>
    </w:p>
    <w:p w:rsidR="009355FE" w:rsidRPr="009355FE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CB3D7E" w:rsidRPr="002F5C90" w:rsidRDefault="009D44C5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Valorar los principales procesos establecidos para la operación del Programa Presupuestario, así como los sistemas de información que lo soportan y sus mecanismos de transparencia y rendición de cuentas</w:t>
      </w:r>
      <w:r w:rsidR="00CB3D7E">
        <w:rPr>
          <w:rFonts w:ascii="Palatino Linotype" w:hAnsi="Palatino Linotype"/>
        </w:rPr>
        <w:t>.</w:t>
      </w:r>
    </w:p>
    <w:p w:rsidR="009355FE" w:rsidRPr="009355FE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2F5C90" w:rsidRPr="009D44C5" w:rsidRDefault="009D44C5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Valorar lo instrumentos que permitan medir el grado de satisfacción de l</w:t>
      </w:r>
      <w:r w:rsidR="00A33CCD">
        <w:rPr>
          <w:rFonts w:ascii="Palatino Linotype" w:hAnsi="Palatino Linotype"/>
        </w:rPr>
        <w:t>o</w:t>
      </w:r>
      <w:r>
        <w:rPr>
          <w:rFonts w:ascii="Palatino Linotype" w:hAnsi="Palatino Linotype"/>
        </w:rPr>
        <w:t>s beneficiarios, usuarios o destinatarios de las funciones del Instituto, de su programa y sus resultados</w:t>
      </w:r>
      <w:r w:rsidR="002F5C90">
        <w:rPr>
          <w:rFonts w:ascii="Palatino Linotype" w:hAnsi="Palatino Linotype"/>
        </w:rPr>
        <w:t>.</w:t>
      </w:r>
    </w:p>
    <w:p w:rsidR="009D44C5" w:rsidRPr="009D44C5" w:rsidRDefault="009D44C5" w:rsidP="009D44C5">
      <w:pPr>
        <w:pStyle w:val="Prrafodelista"/>
        <w:rPr>
          <w:rFonts w:ascii="Palatino Linotype" w:hAnsi="Palatino Linotype" w:cs="Arial"/>
        </w:rPr>
      </w:pPr>
    </w:p>
    <w:p w:rsidR="009D44C5" w:rsidRPr="002F5C90" w:rsidRDefault="009D44C5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Valorara los resultados del Programa Presupuestario respecto a la atención del problema o acción de gobierno para el que fue creado</w:t>
      </w:r>
    </w:p>
    <w:p w:rsidR="002F5C90" w:rsidRPr="001D34FB" w:rsidRDefault="002F5C90" w:rsidP="001D34FB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A655E5" w:rsidRDefault="00A655E5" w:rsidP="00786634">
      <w:pPr>
        <w:spacing w:after="0"/>
        <w:jc w:val="both"/>
        <w:rPr>
          <w:rFonts w:ascii="Palatino Linotype" w:hAnsi="Palatino Linotype"/>
          <w:smallCaps/>
        </w:rPr>
      </w:pPr>
    </w:p>
    <w:p w:rsidR="00B03F2F" w:rsidRPr="002239CE" w:rsidRDefault="00B03F2F" w:rsidP="00786634">
      <w:pPr>
        <w:spacing w:after="0"/>
        <w:jc w:val="both"/>
        <w:rPr>
          <w:rFonts w:ascii="Palatino Linotype" w:hAnsi="Palatino Linotype"/>
          <w:b/>
        </w:rPr>
      </w:pPr>
      <w:r w:rsidRPr="002239CE">
        <w:rPr>
          <w:rFonts w:ascii="Palatino Linotype" w:hAnsi="Palatino Linotype"/>
          <w:b/>
          <w:smallCaps/>
        </w:rPr>
        <w:t>Metodología</w:t>
      </w:r>
      <w:r w:rsidRPr="002239CE">
        <w:rPr>
          <w:rFonts w:ascii="Palatino Linotype" w:hAnsi="Palatino Linotype"/>
          <w:b/>
        </w:rPr>
        <w:t>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2239CE" w:rsidRDefault="006F5916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Para el desarrollo de la </w:t>
      </w:r>
      <w:r w:rsidR="001D34FB">
        <w:rPr>
          <w:rFonts w:ascii="Palatino Linotype" w:hAnsi="Palatino Linotype"/>
        </w:rPr>
        <w:t xml:space="preserve">Evaluación </w:t>
      </w:r>
      <w:r w:rsidR="009D44C5">
        <w:rPr>
          <w:rFonts w:ascii="Palatino Linotype" w:hAnsi="Palatino Linotype"/>
        </w:rPr>
        <w:t xml:space="preserve">de Consistencia y Resultados </w:t>
      </w:r>
      <w:r>
        <w:rPr>
          <w:rFonts w:ascii="Palatino Linotype" w:hAnsi="Palatino Linotype"/>
        </w:rPr>
        <w:t xml:space="preserve">del </w:t>
      </w:r>
      <w:r w:rsidRPr="00A655E5">
        <w:rPr>
          <w:rFonts w:ascii="Palatino Linotype" w:hAnsi="Palatino Linotype"/>
        </w:rPr>
        <w:t xml:space="preserve">Programa </w:t>
      </w:r>
      <w:r w:rsidR="001C4D60">
        <w:rPr>
          <w:rFonts w:ascii="Palatino Linotype" w:hAnsi="Palatino Linotype"/>
        </w:rPr>
        <w:t xml:space="preserve">Presupuestario </w:t>
      </w:r>
      <w:r w:rsidRPr="00A655E5">
        <w:rPr>
          <w:rFonts w:ascii="Palatino Linotype" w:hAnsi="Palatino Linotype"/>
        </w:rPr>
        <w:t>“</w:t>
      </w:r>
      <w:r w:rsidR="001C4D60">
        <w:rPr>
          <w:rFonts w:ascii="Palatino Linotype" w:hAnsi="Palatino Linotype"/>
        </w:rPr>
        <w:t>Transparenc</w:t>
      </w:r>
      <w:r w:rsidR="00A513DC">
        <w:rPr>
          <w:rFonts w:ascii="Palatino Linotype" w:hAnsi="Palatino Linotype"/>
        </w:rPr>
        <w:t>i</w:t>
      </w:r>
      <w:r w:rsidR="001C4D60">
        <w:rPr>
          <w:rFonts w:ascii="Palatino Linotype" w:hAnsi="Palatino Linotype"/>
        </w:rPr>
        <w:t>a</w:t>
      </w:r>
      <w:r w:rsidRPr="00A655E5">
        <w:rPr>
          <w:rFonts w:ascii="Palatino Linotype" w:hAnsi="Palatino Linotype"/>
        </w:rPr>
        <w:t>”</w:t>
      </w:r>
      <w:r>
        <w:rPr>
          <w:rFonts w:ascii="Palatino Linotype" w:hAnsi="Palatino Linotype"/>
        </w:rPr>
        <w:t xml:space="preserve">, su utilizará </w:t>
      </w:r>
      <w:r w:rsidR="002239CE">
        <w:rPr>
          <w:rFonts w:ascii="Palatino Linotype" w:hAnsi="Palatino Linotype"/>
        </w:rPr>
        <w:t>lo establecido en los “</w:t>
      </w:r>
      <w:r w:rsidR="002239CE" w:rsidRPr="002239CE">
        <w:rPr>
          <w:rFonts w:ascii="Palatino Linotype" w:hAnsi="Palatino Linotype"/>
        </w:rPr>
        <w:t>Lineamientos Generales para la Evaluación de los Programas Presupuestarios del Gobierno del Estado de México</w:t>
      </w:r>
      <w:r w:rsidR="002239CE">
        <w:rPr>
          <w:rFonts w:ascii="Palatino Linotype" w:hAnsi="Palatino Linotype"/>
        </w:rPr>
        <w:t>”, publicados en el Periódico Oficial “Gaceta del Gobierno” del 23 de febrero de 2017.</w:t>
      </w:r>
    </w:p>
    <w:p w:rsidR="002239CE" w:rsidRDefault="002239CE" w:rsidP="00786634">
      <w:pPr>
        <w:spacing w:after="0"/>
        <w:jc w:val="both"/>
        <w:rPr>
          <w:rFonts w:ascii="Palatino Linotype" w:hAnsi="Palatino Linotype"/>
        </w:rPr>
      </w:pPr>
    </w:p>
    <w:p w:rsidR="00B03F2F" w:rsidRPr="002239CE" w:rsidRDefault="00B03F2F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Informe de Resultados: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2239CE" w:rsidP="00786634">
      <w:pPr>
        <w:spacing w:after="0"/>
        <w:jc w:val="both"/>
        <w:rPr>
          <w:rFonts w:ascii="Palatino Linotype" w:hAnsi="Palatino Linotype"/>
        </w:rPr>
      </w:pPr>
      <w:r w:rsidRPr="002239CE">
        <w:rPr>
          <w:rFonts w:ascii="Palatino Linotype" w:hAnsi="Palatino Linotype"/>
        </w:rPr>
        <w:t xml:space="preserve">Una vez finalizada </w:t>
      </w:r>
      <w:r w:rsidR="001D34FB">
        <w:rPr>
          <w:rFonts w:ascii="Palatino Linotype" w:hAnsi="Palatino Linotype"/>
        </w:rPr>
        <w:t xml:space="preserve">Evaluación </w:t>
      </w:r>
      <w:r w:rsidR="009D44C5">
        <w:rPr>
          <w:rFonts w:ascii="Palatino Linotype" w:hAnsi="Palatino Linotype"/>
        </w:rPr>
        <w:t xml:space="preserve">de Consistencia y Resultados </w:t>
      </w:r>
      <w:r w:rsidRPr="002239CE">
        <w:rPr>
          <w:rFonts w:ascii="Palatino Linotype" w:hAnsi="Palatino Linotype"/>
        </w:rPr>
        <w:t>se generará el informe respectivo con los resultados obtenidos</w:t>
      </w:r>
      <w:r>
        <w:rPr>
          <w:rFonts w:ascii="Palatino Linotype" w:hAnsi="Palatino Linotype"/>
        </w:rPr>
        <w:t>, que incluya los aspectos relevantes para cons</w:t>
      </w:r>
      <w:r w:rsidR="001F2FF8">
        <w:rPr>
          <w:rFonts w:ascii="Palatino Linotype" w:hAnsi="Palatino Linotype"/>
        </w:rPr>
        <w:t>iderarse, así como de ser el cas</w:t>
      </w:r>
      <w:r>
        <w:rPr>
          <w:rFonts w:ascii="Palatino Linotype" w:hAnsi="Palatino Linotype"/>
        </w:rPr>
        <w:t xml:space="preserve">o, los </w:t>
      </w:r>
      <w:r w:rsidRPr="002239CE">
        <w:rPr>
          <w:rFonts w:ascii="Palatino Linotype" w:hAnsi="Palatino Linotype"/>
        </w:rPr>
        <w:t>hallazgos y aspectos que sean susceptibles de mejora.</w:t>
      </w:r>
    </w:p>
    <w:sectPr w:rsidR="0084742C" w:rsidSect="00786634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0A0" w:rsidRDefault="000870A0" w:rsidP="00F479F3">
      <w:pPr>
        <w:spacing w:after="0" w:line="240" w:lineRule="auto"/>
      </w:pPr>
      <w:r>
        <w:separator/>
      </w:r>
    </w:p>
  </w:endnote>
  <w:endnote w:type="continuationSeparator" w:id="0">
    <w:p w:rsidR="000870A0" w:rsidRDefault="000870A0" w:rsidP="00F4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b/>
        <w:sz w:val="15"/>
        <w:szCs w:val="15"/>
      </w:rPr>
    </w:pPr>
    <w:r>
      <w:rPr>
        <w:rFonts w:ascii="Palatino Linotype" w:hAnsi="Palatino Linotype"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99296" wp14:editId="395977F5">
              <wp:simplePos x="0" y="0"/>
              <wp:positionH relativeFrom="column">
                <wp:posOffset>4669502</wp:posOffset>
              </wp:positionH>
              <wp:positionV relativeFrom="paragraph">
                <wp:posOffset>47625</wp:posOffset>
              </wp:positionV>
              <wp:extent cx="1039091" cy="228600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091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beve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39B4" w:rsidRPr="001E39B4" w:rsidRDefault="001E39B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ab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4264">
                            <w:rPr>
                              <w:rFonts w:ascii="Palatino Linotype" w:hAnsi="Palatino Linotype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4264">
                            <w:rPr>
                              <w:rFonts w:ascii="Palatino Linotype" w:hAnsi="Palatino Linotype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99296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left:0;text-align:left;margin-left:367.7pt;margin-top:3.75pt;width:81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" filled="f" stroked="f" strokeweight=".5pt">
              <v:stroke joinstyle="bevel"/>
              <v:textbox>
                <w:txbxContent>
                  <w:p w:rsidR="001E39B4" w:rsidRPr="001E39B4" w:rsidRDefault="001E39B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tab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begin"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separate"/>
                    </w:r>
                    <w:r w:rsidR="00254264">
                      <w:rPr>
                        <w:rFonts w:ascii="Palatino Linotype" w:hAnsi="Palatino Linotype"/>
                        <w:noProof/>
                        <w:sz w:val="16"/>
                        <w:szCs w:val="16"/>
                      </w:rPr>
                      <w:t>4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de 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begin"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separate"/>
                    </w:r>
                    <w:r w:rsidR="00254264">
                      <w:rPr>
                        <w:rFonts w:ascii="Palatino Linotype" w:hAnsi="Palatino Linotype"/>
                        <w:noProof/>
                        <w:sz w:val="16"/>
                        <w:szCs w:val="16"/>
                      </w:rPr>
                      <w:t>4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E39B4">
      <w:rPr>
        <w:rFonts w:ascii="Palatino Linotype" w:hAnsi="Palatino Linotype"/>
        <w:b/>
        <w:sz w:val="15"/>
        <w:szCs w:val="15"/>
      </w:rPr>
      <w:t>Instituto de Transparencia, Acceso a la Información Pública y</w:t>
    </w:r>
    <w:r>
      <w:rPr>
        <w:rFonts w:ascii="Palatino Linotype" w:hAnsi="Palatino Linotype"/>
        <w:b/>
        <w:sz w:val="15"/>
        <w:szCs w:val="15"/>
      </w:rPr>
      <w:t xml:space="preserve"> </w:t>
    </w:r>
    <w:r w:rsidRPr="001E39B4">
      <w:rPr>
        <w:rFonts w:ascii="Palatino Linotype" w:hAnsi="Palatino Linotype"/>
        <w:b/>
        <w:sz w:val="15"/>
        <w:szCs w:val="15"/>
      </w:rPr>
      <w:t>Protección de Datos Personales del Estado de México y Municipios</w:t>
    </w:r>
  </w:p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b/>
        <w:sz w:val="14"/>
        <w:szCs w:val="14"/>
      </w:rPr>
    </w:pPr>
    <w:r w:rsidRPr="001E39B4">
      <w:rPr>
        <w:rFonts w:ascii="Palatino Linotype" w:hAnsi="Palatino Linotype"/>
        <w:b/>
        <w:sz w:val="14"/>
        <w:szCs w:val="14"/>
      </w:rPr>
      <w:t>Dirección de Administración y Finanzas</w:t>
    </w:r>
  </w:p>
  <w:p w:rsid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Subdirección de Planeación y Presupuesto</w:t>
    </w:r>
  </w:p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Unidad de Información, Planeación, Programación y Evaluación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0A0" w:rsidRDefault="000870A0" w:rsidP="00F479F3">
      <w:pPr>
        <w:spacing w:after="0" w:line="240" w:lineRule="auto"/>
      </w:pPr>
      <w:r>
        <w:separator/>
      </w:r>
    </w:p>
  </w:footnote>
  <w:footnote w:type="continuationSeparator" w:id="0">
    <w:p w:rsidR="000870A0" w:rsidRDefault="000870A0" w:rsidP="00F4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9F3" w:rsidRDefault="00F479F3" w:rsidP="00EF13E8">
    <w:pPr>
      <w:pStyle w:val="Encabezado"/>
      <w:rPr>
        <w:rFonts w:ascii="Palatino Linotype" w:hAnsi="Palatino Linotype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E813694" wp14:editId="0E178BC2">
          <wp:simplePos x="0" y="0"/>
          <wp:positionH relativeFrom="column">
            <wp:posOffset>-177165</wp:posOffset>
          </wp:positionH>
          <wp:positionV relativeFrom="paragraph">
            <wp:posOffset>-215412</wp:posOffset>
          </wp:positionV>
          <wp:extent cx="1849159" cy="1060938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-info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59" cy="106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79F3" w:rsidRPr="00F479F3" w:rsidRDefault="00F479F3" w:rsidP="00F479F3">
    <w:pPr>
      <w:pStyle w:val="Encabezado"/>
      <w:jc w:val="right"/>
      <w:rPr>
        <w:rFonts w:ascii="Palatino Linotype" w:hAnsi="Palatino Linotype"/>
        <w:b/>
        <w:color w:val="808080" w:themeColor="background1" w:themeShade="80"/>
        <w:spacing w:val="10"/>
      </w:rPr>
    </w:pPr>
    <w:r w:rsidRPr="00F479F3">
      <w:rPr>
        <w:rFonts w:ascii="Palatino Linotype" w:hAnsi="Palatino Linotype"/>
        <w:b/>
        <w:color w:val="808080" w:themeColor="background1" w:themeShade="80"/>
        <w:spacing w:val="10"/>
      </w:rPr>
      <w:t xml:space="preserve">PROGRAMA ANUAL </w:t>
    </w:r>
  </w:p>
  <w:p w:rsidR="00F479F3" w:rsidRPr="004F5FBF" w:rsidRDefault="00AA3C28" w:rsidP="00F479F3">
    <w:pPr>
      <w:pStyle w:val="Encabezado"/>
      <w:jc w:val="right"/>
      <w:rPr>
        <w:rFonts w:ascii="Palatino Linotype" w:hAnsi="Palatino Linotype"/>
        <w:color w:val="808080" w:themeColor="background1" w:themeShade="80"/>
        <w:szCs w:val="14"/>
      </w:rPr>
    </w:pPr>
    <w:r>
      <w:rPr>
        <w:rFonts w:ascii="Palatino Linotype" w:hAnsi="Palatino Linotype"/>
        <w:b/>
        <w:color w:val="AEAAAA" w:themeColor="background2" w:themeShade="BF"/>
        <w:szCs w:val="14"/>
      </w:rPr>
      <w:t xml:space="preserve">DE EVALUACIÓN </w:t>
    </w:r>
    <w:r w:rsidR="009D44C5">
      <w:rPr>
        <w:rFonts w:ascii="Palatino Linotype" w:hAnsi="Palatino Linotype"/>
        <w:b/>
        <w:color w:val="AEAAAA" w:themeColor="background2" w:themeShade="BF"/>
        <w:szCs w:val="14"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2.6pt;height:84.1pt" o:bullet="t">
        <v:imagedata r:id="rId1" o:title="Imagotipo"/>
      </v:shape>
    </w:pict>
  </w:numPicBullet>
  <w:abstractNum w:abstractNumId="0" w15:restartNumberingAfterBreak="0">
    <w:nsid w:val="0EB26927"/>
    <w:multiLevelType w:val="hybridMultilevel"/>
    <w:tmpl w:val="A0B00C38"/>
    <w:lvl w:ilvl="0" w:tplc="8C20506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105B"/>
    <w:multiLevelType w:val="hybridMultilevel"/>
    <w:tmpl w:val="40A45B24"/>
    <w:lvl w:ilvl="0" w:tplc="358466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F0E1B"/>
    <w:multiLevelType w:val="hybridMultilevel"/>
    <w:tmpl w:val="92F65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3"/>
    <w:rsid w:val="00071469"/>
    <w:rsid w:val="000870A0"/>
    <w:rsid w:val="00103899"/>
    <w:rsid w:val="0010768B"/>
    <w:rsid w:val="00143AF2"/>
    <w:rsid w:val="00145CA7"/>
    <w:rsid w:val="00147065"/>
    <w:rsid w:val="00161AF8"/>
    <w:rsid w:val="00192FCC"/>
    <w:rsid w:val="001A09C9"/>
    <w:rsid w:val="001C2724"/>
    <w:rsid w:val="001C29FF"/>
    <w:rsid w:val="001C4D60"/>
    <w:rsid w:val="001D34FB"/>
    <w:rsid w:val="001E39B4"/>
    <w:rsid w:val="001E4DF1"/>
    <w:rsid w:val="001F2FF8"/>
    <w:rsid w:val="001F475D"/>
    <w:rsid w:val="002239CE"/>
    <w:rsid w:val="00254264"/>
    <w:rsid w:val="0026068D"/>
    <w:rsid w:val="00283D7E"/>
    <w:rsid w:val="00295233"/>
    <w:rsid w:val="002F00B8"/>
    <w:rsid w:val="002F5C90"/>
    <w:rsid w:val="00306A68"/>
    <w:rsid w:val="0031799F"/>
    <w:rsid w:val="0035789C"/>
    <w:rsid w:val="00383C33"/>
    <w:rsid w:val="003D712D"/>
    <w:rsid w:val="0042357F"/>
    <w:rsid w:val="00496BF7"/>
    <w:rsid w:val="0049768E"/>
    <w:rsid w:val="004C105C"/>
    <w:rsid w:val="004D27BD"/>
    <w:rsid w:val="004E4232"/>
    <w:rsid w:val="004F5FBF"/>
    <w:rsid w:val="00511C3C"/>
    <w:rsid w:val="00511C8F"/>
    <w:rsid w:val="00593F73"/>
    <w:rsid w:val="005C7B56"/>
    <w:rsid w:val="005E429A"/>
    <w:rsid w:val="00600CED"/>
    <w:rsid w:val="00602EC8"/>
    <w:rsid w:val="006845C2"/>
    <w:rsid w:val="006C32C2"/>
    <w:rsid w:val="006C58AA"/>
    <w:rsid w:val="006F5916"/>
    <w:rsid w:val="006F7050"/>
    <w:rsid w:val="00753641"/>
    <w:rsid w:val="00786634"/>
    <w:rsid w:val="007A57B0"/>
    <w:rsid w:val="007C715B"/>
    <w:rsid w:val="007E1923"/>
    <w:rsid w:val="007E22FC"/>
    <w:rsid w:val="00806D7A"/>
    <w:rsid w:val="00807A4D"/>
    <w:rsid w:val="008364D1"/>
    <w:rsid w:val="0084742C"/>
    <w:rsid w:val="00896A26"/>
    <w:rsid w:val="008A5120"/>
    <w:rsid w:val="008C1BB1"/>
    <w:rsid w:val="008D1D8C"/>
    <w:rsid w:val="009355FE"/>
    <w:rsid w:val="00954295"/>
    <w:rsid w:val="00960660"/>
    <w:rsid w:val="0097402F"/>
    <w:rsid w:val="00986879"/>
    <w:rsid w:val="009D44C5"/>
    <w:rsid w:val="009E4047"/>
    <w:rsid w:val="009F4EF2"/>
    <w:rsid w:val="00A23B17"/>
    <w:rsid w:val="00A23D2E"/>
    <w:rsid w:val="00A33CCD"/>
    <w:rsid w:val="00A50A95"/>
    <w:rsid w:val="00A513DC"/>
    <w:rsid w:val="00A655E5"/>
    <w:rsid w:val="00A66554"/>
    <w:rsid w:val="00A74177"/>
    <w:rsid w:val="00A8559A"/>
    <w:rsid w:val="00AA3C28"/>
    <w:rsid w:val="00AC4457"/>
    <w:rsid w:val="00AE205C"/>
    <w:rsid w:val="00AF16E4"/>
    <w:rsid w:val="00B03F2F"/>
    <w:rsid w:val="00B407F6"/>
    <w:rsid w:val="00B4535A"/>
    <w:rsid w:val="00B510F8"/>
    <w:rsid w:val="00B74EB3"/>
    <w:rsid w:val="00B969F4"/>
    <w:rsid w:val="00BA443A"/>
    <w:rsid w:val="00BB43E3"/>
    <w:rsid w:val="00C0043F"/>
    <w:rsid w:val="00C32C4B"/>
    <w:rsid w:val="00C605CF"/>
    <w:rsid w:val="00CB3D7E"/>
    <w:rsid w:val="00CC0B9C"/>
    <w:rsid w:val="00D162E1"/>
    <w:rsid w:val="00D94A1D"/>
    <w:rsid w:val="00DC2865"/>
    <w:rsid w:val="00DC6B98"/>
    <w:rsid w:val="00E12120"/>
    <w:rsid w:val="00E54FA0"/>
    <w:rsid w:val="00E60F45"/>
    <w:rsid w:val="00E81DEC"/>
    <w:rsid w:val="00E932CA"/>
    <w:rsid w:val="00EA4EF7"/>
    <w:rsid w:val="00EF0303"/>
    <w:rsid w:val="00EF13E8"/>
    <w:rsid w:val="00EF6EC4"/>
    <w:rsid w:val="00F479F3"/>
    <w:rsid w:val="00F87924"/>
    <w:rsid w:val="00FD5E6E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A53005-4B5E-4E5E-A6BE-2F731A05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7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9F3"/>
  </w:style>
  <w:style w:type="paragraph" w:styleId="Piedepgina">
    <w:name w:val="footer"/>
    <w:basedOn w:val="Normal"/>
    <w:link w:val="PiedepginaCar"/>
    <w:uiPriority w:val="99"/>
    <w:unhideWhenUsed/>
    <w:rsid w:val="00F47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9F3"/>
  </w:style>
  <w:style w:type="paragraph" w:styleId="Prrafodelista">
    <w:name w:val="List Paragraph"/>
    <w:basedOn w:val="Normal"/>
    <w:link w:val="PrrafodelistaCar"/>
    <w:uiPriority w:val="34"/>
    <w:qFormat/>
    <w:rsid w:val="006F70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D7A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E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RAFAEL RAMÍREZ</cp:lastModifiedBy>
  <cp:revision>5</cp:revision>
  <cp:lastPrinted>2022-04-25T23:13:00Z</cp:lastPrinted>
  <dcterms:created xsi:type="dcterms:W3CDTF">2022-04-25T23:12:00Z</dcterms:created>
  <dcterms:modified xsi:type="dcterms:W3CDTF">2022-04-28T16:44:00Z</dcterms:modified>
</cp:coreProperties>
</file>