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995.0" w:type="dxa"/>
        <w:jc w:val="center"/>
        <w:tblLayout w:type="fixed"/>
        <w:tblLook w:val="0400"/>
      </w:tblPr>
      <w:tblGrid>
        <w:gridCol w:w="5240"/>
        <w:gridCol w:w="1140"/>
        <w:gridCol w:w="975"/>
        <w:gridCol w:w="1320"/>
        <w:gridCol w:w="1320"/>
        <w:tblGridChange w:id="0">
          <w:tblGrid>
            <w:gridCol w:w="5240"/>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3">
            <w:pPr>
              <w:ind w:left="-685"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ind w:left="-685" w:firstLine="0"/>
              <w:rPr>
                <w:rFonts w:ascii="Arial" w:cs="Arial" w:eastAsia="Arial" w:hAnsi="Arial"/>
              </w:rPr>
            </w:pPr>
            <w:r w:rsidDel="00000000" w:rsidR="00000000" w:rsidRPr="00000000">
              <w:rPr>
                <w:rFonts w:ascii="Arial" w:cs="Arial" w:eastAsia="Arial" w:hAnsi="Arial"/>
                <w:rtl w:val="0"/>
              </w:rPr>
              <w:t xml:space="preserve">Alerta de Género</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8">
            <w:pPr>
              <w:ind w:left="-685"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9">
            <w:pPr>
              <w:ind w:left="-685" w:firstLine="0"/>
              <w:rPr>
                <w:rFonts w:ascii="Arial" w:cs="Arial" w:eastAsia="Arial" w:hAnsi="Arial"/>
              </w:rPr>
            </w:pPr>
            <w:r w:rsidDel="00000000" w:rsidR="00000000" w:rsidRPr="00000000">
              <w:rPr>
                <w:rFonts w:ascii="Arial" w:cs="Arial" w:eastAsia="Arial" w:hAnsi="Arial"/>
                <w:rtl w:val="0"/>
              </w:rPr>
              <w:t xml:space="preserve">Secretaría de las Mujeres</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ind w:left="-685"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ind w:left="-685" w:firstLine="0"/>
              <w:rPr>
                <w:rFonts w:ascii="Arial" w:cs="Arial" w:eastAsia="Arial" w:hAnsi="Arial"/>
              </w:rPr>
            </w:pPr>
            <w:r w:rsidDel="00000000" w:rsidR="00000000" w:rsidRPr="00000000">
              <w:rPr>
                <w:rFonts w:ascii="Arial" w:cs="Arial" w:eastAsia="Arial" w:hAnsi="Arial"/>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2">
            <w:pPr>
              <w:ind w:left="-685"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ind w:left="-685" w:firstLine="0"/>
              <w:rPr>
                <w:rFonts w:ascii="Arial" w:cs="Arial" w:eastAsia="Arial" w:hAnsi="Arial"/>
              </w:rPr>
            </w:pPr>
            <w:r w:rsidDel="00000000" w:rsidR="00000000" w:rsidRPr="00000000">
              <w:rPr>
                <w:rFonts w:ascii="Arial" w:cs="Arial" w:eastAsia="Arial" w:hAnsi="Arial"/>
                <w:rtl w:val="0"/>
              </w:rPr>
              <w:t xml:space="preserve">Dirección General de Prevención y Atención a la Violencia</w:t>
            </w:r>
          </w:p>
        </w:tc>
      </w:tr>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7">
            <w:pPr>
              <w:ind w:left="-685" w:firstLine="0"/>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8">
            <w:pPr>
              <w:ind w:left="-685" w:firstLine="0"/>
              <w:rPr>
                <w:rFonts w:ascii="Arial" w:cs="Arial" w:eastAsia="Arial" w:hAnsi="Arial"/>
              </w:rPr>
            </w:pPr>
            <w:r w:rsidDel="00000000" w:rsidR="00000000" w:rsidRPr="00000000">
              <w:rPr>
                <w:rFonts w:ascii="Arial" w:cs="Arial" w:eastAsia="Arial" w:hAnsi="Arial"/>
                <w:rtl w:val="0"/>
              </w:rPr>
              <w:t xml:space="preserve">Lcda. Erika Núñez Gutiérrez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ind w:hanging="290"/>
              <w:rPr>
                <w:rFonts w:ascii="Arial" w:cs="Arial" w:eastAsia="Arial" w:hAnsi="Arial"/>
              </w:rPr>
            </w:pPr>
            <w:r w:rsidDel="00000000" w:rsidR="00000000" w:rsidRPr="00000000">
              <w:rPr>
                <w:rFonts w:ascii="Arial" w:cs="Arial" w:eastAsia="Arial" w:hAnsi="Arial"/>
                <w:rtl w:val="0"/>
              </w:rPr>
              <w:t xml:space="preserve"> x</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3">
      <w:pPr>
        <w:jc w:val="both"/>
        <w:rPr>
          <w:rFonts w:ascii="Arial" w:cs="Arial" w:eastAsia="Arial" w:hAnsi="Arial"/>
          <w:b w:val="1"/>
        </w:rPr>
      </w:pPr>
      <w:r w:rsidDel="00000000" w:rsidR="00000000" w:rsidRPr="00000000">
        <w:rPr>
          <w:rFonts w:ascii="Arial" w:cs="Arial" w:eastAsia="Arial" w:hAnsi="Arial"/>
          <w:b w:val="1"/>
          <w:rtl w:val="0"/>
        </w:rPr>
        <w:t xml:space="preserve">En septiembre del 2020, se creó la Secretaría de las Mujeres de Estado de México, desde entonces inició la publicación de la información de la “Alerta de Género”, en la página web de este Sujeto Obligado, donde se pueden consultar las acciones de emergencia implementadas, destinadas a prevenir, atender, sancionar y erradicar la violencia contra las niñas, adolescentes y mujeres y se encuentra vigente.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Transparentar y dar a conocer a la ciudadanía las acciones de emergencia implementadas para prevenir, atender, sancionar y erradicar la violencia; descritas en las medidas de seguridad, prevención y justicia tanto en la Declaratoria de procedencia como las Resoluciones de la Secretaría de Gobernación, respecto a la Alerta de Violencia de Género por Feminicidio y la Alerta de Violencia de Género por Desaparición, asimismo se da a conocer el proceso para la ejecución de recursos relativos a la Alerta de Violencia de Género en los municipios alertados.</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8">
      <w:pPr>
        <w:jc w:val="both"/>
        <w:rPr>
          <w:rFonts w:ascii="Arial" w:cs="Arial" w:eastAsia="Arial" w:hAnsi="Arial"/>
          <w:b w:val="1"/>
        </w:rPr>
      </w:pPr>
      <w:r w:rsidDel="00000000" w:rsidR="00000000" w:rsidRPr="00000000">
        <w:rPr>
          <w:rFonts w:ascii="Arial" w:cs="Arial" w:eastAsia="Arial" w:hAnsi="Arial"/>
          <w:b w:val="1"/>
          <w:rtl w:val="0"/>
        </w:rPr>
        <w:t xml:space="preserve">La página web “Alerta de Género”, es una medida del Gobierno del Estado de México para informar a la población sobre las acciones de emergencia implementadas, destinadas a prevenir, atender, sancionar y erradicar la violencia contra las niñas, adolescentes y mujeres.</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Municipios declarados con Alerta de Violencia de Género.</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Proyecto de Operación para la Mitigación de la Alerta de Violencia de Género por desaparición de niñas, adolescentes y mujeres, de cada uno de los municipios alertados.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Zona de riesgo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mediante una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“georreferenciación”,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cada uno de los municipios del Estado de México que cuentan con la alerta.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acciones que lleva a cabo cada uno de los municipios alertados, como;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Chalco: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patrullajes con perspectiva de género, rehabilitación y reinstalación de alumbrado, medidas de protección, búsqueda y localización de personas, difusión de números de emergencia en línea, difusión de emergencia en las calles.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acciones que se han llevado a cabo para atender la Alerta de Violencia de Género contra las Mujeres, como: los Centros de Justicia para las Mujeres, Banco de Datos De Violencia contra las Mujeres, etc. </w:t>
      </w:r>
    </w:p>
    <w:p w:rsidR="00000000" w:rsidDel="00000000" w:rsidP="00000000" w:rsidRDefault="00000000" w:rsidRPr="00000000" w14:paraId="00000030">
      <w:pPr>
        <w:jc w:val="both"/>
        <w:rPr>
          <w:rFonts w:ascii="Arial" w:cs="Arial" w:eastAsia="Arial" w:hAnsi="Arial"/>
          <w:b w:val="1"/>
        </w:rPr>
      </w:pPr>
      <w:r w:rsidDel="00000000" w:rsidR="00000000" w:rsidRPr="00000000">
        <w:rPr>
          <w:rFonts w:ascii="Arial" w:cs="Arial" w:eastAsia="Arial" w:hAnsi="Arial"/>
          <w:b w:val="1"/>
          <w:rtl w:val="0"/>
        </w:rPr>
        <w:t xml:space="preserve">Se publican las actividades relevantes que realizan los municipios alertados, las incidencias delictivas, las georreferenciaciones, las actas de los Mecanismos de Seguimiento, las Actas del Comité Técnico de los Mecanismos para la Operación de Recursos para la Mitigación de la Alerta de Violencia de Género contra las Mujeres por Feminicidio; y de la Alerta de Violencia de Género contra las Mujeres por Desaparición para el Estado de México, el presupuesto asignado a los municipios alertados, así como los proyectos operativos de cada uno de estos.</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Publicar y transparentar las acciones implementadas por el Estado y Municipios para mitigar la Alerta de Violencia de Género contra las Mujeres por Feminicidio y Alerta de Violencia de Género por Desaparición.</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37">
      <w:pPr>
        <w:jc w:val="both"/>
        <w:rPr>
          <w:rFonts w:ascii="Arial" w:cs="Arial" w:eastAsia="Arial" w:hAnsi="Arial"/>
          <w:b w:val="1"/>
        </w:rPr>
      </w:pPr>
      <w:r w:rsidDel="00000000" w:rsidR="00000000" w:rsidRPr="00000000">
        <w:rPr>
          <w:rFonts w:ascii="Arial" w:cs="Arial" w:eastAsia="Arial" w:hAnsi="Arial"/>
          <w:b w:val="1"/>
          <w:rtl w:val="0"/>
        </w:rPr>
        <w:t xml:space="preserve">La población ha tenido acceso a la información relacionada con las acciones que se generan por parte del Estado y los Municipios con Alerta de Violencia de Género para prevenir, atender, sancionar y erradicar la violencia de género contra las mujeres.</w:t>
      </w:r>
    </w:p>
    <w:p w:rsidR="00000000" w:rsidDel="00000000" w:rsidP="00000000" w:rsidRDefault="00000000" w:rsidRPr="00000000" w14:paraId="00000038">
      <w:pPr>
        <w:jc w:val="both"/>
        <w:rPr>
          <w:rFonts w:ascii="Arial" w:cs="Arial" w:eastAsia="Arial" w:hAnsi="Arial"/>
          <w:b w:val="1"/>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9">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99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D">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E">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F">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0">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tabs>
                <w:tab w:val="left" w:leader="none" w:pos="873"/>
              </w:tabs>
              <w:ind w:right="351"/>
              <w:jc w:val="center"/>
              <w:rPr>
                <w:rFonts w:ascii="Arial" w:cs="Arial" w:eastAsia="Arial" w:hAnsi="Arial"/>
                <w:b w:val="1"/>
              </w:rPr>
            </w:pPr>
            <w:r w:rsidDel="00000000" w:rsidR="00000000" w:rsidRPr="00000000">
              <w:rPr>
                <w:rFonts w:ascii="Arial" w:cs="Arial" w:eastAsia="Arial" w:hAnsi="Arial"/>
                <w:b w:val="1"/>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left="-837" w:firstLine="0"/>
              <w:jc w:val="center"/>
              <w:rPr>
                <w:rFonts w:ascii="Arial" w:cs="Arial" w:eastAsia="Arial" w:hAnsi="Arial"/>
                <w:b w:val="1"/>
                <w:color w:val="ff0000"/>
              </w:rPr>
            </w:pPr>
            <w:r w:rsidDel="00000000" w:rsidR="00000000" w:rsidRPr="00000000">
              <w:rPr>
                <w:rFonts w:ascii="Arial" w:cs="Arial" w:eastAsia="Arial" w:hAnsi="Arial"/>
                <w:b w:val="1"/>
                <w:sz w:val="32"/>
                <w:szCs w:val="32"/>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right="804"/>
              <w:jc w:val="center"/>
              <w:rPr>
                <w:rFonts w:ascii="Arial" w:cs="Arial" w:eastAsia="Arial" w:hAnsi="Arial"/>
                <w:b w:val="1"/>
              </w:rPr>
            </w:pPr>
            <w:r w:rsidDel="00000000" w:rsidR="00000000" w:rsidRPr="00000000">
              <w:rPr>
                <w:rFonts w:ascii="Arial" w:cs="Arial" w:eastAsia="Arial" w:hAnsi="Arial"/>
                <w:b w:val="1"/>
                <w:sz w:val="28"/>
                <w:szCs w:val="28"/>
                <w:rtl w:val="0"/>
              </w:rPr>
              <w:t xml:space="preserve">X</w:t>
            </w: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5">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w:t>
            </w:r>
          </w:p>
        </w:tc>
      </w:tr>
      <w:tr>
        <w:trPr>
          <w:cantSplit w:val="0"/>
          <w:trHeight w:val="579"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ind w:left="-548" w:firstLine="0"/>
              <w:jc w:val="both"/>
              <w:rPr>
                <w:rFonts w:ascii="Arial" w:cs="Arial" w:eastAsia="Arial" w:hAnsi="Arial"/>
                <w:b w:val="1"/>
              </w:rPr>
            </w:pPr>
            <w:r w:rsidDel="00000000" w:rsidR="00000000" w:rsidRPr="00000000">
              <w:rPr>
                <w:rFonts w:ascii="Arial" w:cs="Arial" w:eastAsia="Arial" w:hAnsi="Arial"/>
                <w:b w:val="1"/>
                <w:rtl w:val="0"/>
              </w:rPr>
              <w:t xml:space="preserve">Mantiene informada a la población sobre las acciones que se generan por parte del Estado y los Municipios con Alerta de Violencia de Género para prevenir, atender, sancionar y erradicar la violencia de género.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p w:rsidR="00000000" w:rsidDel="00000000" w:rsidP="00000000" w:rsidRDefault="00000000" w:rsidRPr="00000000" w14:paraId="0000004E">
            <w:pPr>
              <w:ind w:left="-566" w:firstLine="0"/>
              <w:jc w:val="both"/>
              <w:rPr>
                <w:rFonts w:ascii="Arial" w:cs="Arial" w:eastAsia="Arial" w:hAnsi="Arial"/>
                <w:b w:val="1"/>
              </w:rPr>
            </w:pPr>
            <w:r w:rsidDel="00000000" w:rsidR="00000000" w:rsidRPr="00000000">
              <w:rPr>
                <w:rFonts w:ascii="Arial" w:cs="Arial" w:eastAsia="Arial" w:hAnsi="Arial"/>
                <w:b w:val="1"/>
                <w:rtl w:val="0"/>
              </w:rPr>
              <w:t xml:space="preserve">El objetivo de la Alerta de Violencia de Género contra las Mujeres en el Estado de México es garantizar la seguridad de</w:t>
            </w:r>
            <w:r w:rsidDel="00000000" w:rsidR="00000000" w:rsidRPr="00000000">
              <w:rPr>
                <w:rFonts w:ascii="Arial" w:cs="Arial" w:eastAsia="Arial" w:hAnsi="Arial"/>
                <w:b w:val="0"/>
                <w:rtl w:val="0"/>
              </w:rPr>
              <w:t xml:space="preserve"> mujeres, adolescentes y niñas</w:t>
            </w:r>
            <w:r w:rsidDel="00000000" w:rsidR="00000000" w:rsidRPr="00000000">
              <w:rPr>
                <w:rFonts w:ascii="Arial" w:cs="Arial" w:eastAsia="Arial" w:hAnsi="Arial"/>
                <w:b w:val="1"/>
                <w:rtl w:val="0"/>
              </w:rPr>
              <w:t xml:space="preserve">, el cese de la violencia en su contra y eliminar las desigualdades producidas por legislaciones o políticas públicas que pudieran agraviar sus derechos humanos.</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Arial" w:cs="Arial" w:eastAsia="Arial" w:hAnsi="Arial"/>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3"/>
        <w:tblW w:w="10089.0" w:type="dxa"/>
        <w:jc w:val="center"/>
        <w:tblLayout w:type="fixed"/>
        <w:tblLook w:val="0400"/>
      </w:tblPr>
      <w:tblGrid>
        <w:gridCol w:w="4770"/>
        <w:gridCol w:w="1321"/>
        <w:gridCol w:w="1191"/>
        <w:gridCol w:w="1275"/>
        <w:gridCol w:w="1532"/>
        <w:tblGridChange w:id="0">
          <w:tblGrid>
            <w:gridCol w:w="4770"/>
            <w:gridCol w:w="1321"/>
            <w:gridCol w:w="1191"/>
            <w:gridCol w:w="1275"/>
            <w:gridCol w:w="1532"/>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7">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ind w:hanging="684"/>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5C">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1">
            <w:pPr>
              <w:ind w:left="-566" w:firstLine="0"/>
              <w:rPr>
                <w:rFonts w:ascii="Arial" w:cs="Arial" w:eastAsia="Arial" w:hAnsi="Arial"/>
                <w:b w:val="1"/>
              </w:rPr>
            </w:pPr>
            <w:r w:rsidDel="00000000" w:rsidR="00000000" w:rsidRPr="00000000">
              <w:rPr>
                <w:rFonts w:ascii="Arial" w:cs="Arial" w:eastAsia="Arial" w:hAnsi="Arial"/>
                <w:b w:val="1"/>
                <w:rtl w:val="0"/>
              </w:rPr>
              <w:t xml:space="preserve">Mujeres, adolescentes y niñas.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3">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6">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8">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ind w:left="-690" w:firstLine="0"/>
              <w:rPr>
                <w:rFonts w:ascii="Arial" w:cs="Arial" w:eastAsia="Arial" w:hAnsi="Arial"/>
                <w:b w:val="1"/>
              </w:rPr>
            </w:pPr>
            <w:r w:rsidDel="00000000" w:rsidR="00000000" w:rsidRPr="00000000">
              <w:rPr>
                <w:rFonts w:ascii="Arial" w:cs="Arial" w:eastAsia="Arial" w:hAnsi="Arial"/>
                <w:b w:val="1"/>
                <w:rtl w:val="0"/>
              </w:rPr>
              <w:t xml:space="preserve">Si bien, la información es relativa a la prevención, mitigación y erradicación de la violencia de género en contra de las mujeres, es fundamental que la misma sea transmitida a la sociedad.</w:t>
            </w:r>
          </w:p>
        </w:tc>
      </w:tr>
    </w:tbl>
    <w:p w:rsidR="00000000" w:rsidDel="00000000" w:rsidP="00000000" w:rsidRDefault="00000000" w:rsidRPr="00000000" w14:paraId="00000070">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1">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Arial" w:cs="Arial" w:eastAsia="Arial" w:hAnsi="Arial"/>
                <w:b w:val="1"/>
              </w:rPr>
            </w:pPr>
            <w:r w:rsidDel="00000000" w:rsidR="00000000" w:rsidRPr="00000000">
              <w:rPr>
                <w:rFonts w:ascii="Arial" w:cs="Arial" w:eastAsia="Arial" w:hAnsi="Arial"/>
                <w:b w:val="1"/>
                <w:sz w:val="28"/>
                <w:szCs w:val="28"/>
                <w:rtl w:val="0"/>
              </w:rPr>
              <w:t xml:space="preserve">X</w:t>
            </w:r>
            <w:r w:rsidDel="00000000" w:rsidR="00000000" w:rsidRPr="00000000">
              <w:rPr>
                <w:rtl w:val="0"/>
              </w:rPr>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6">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w:cs="Arial" w:eastAsia="Arial" w:hAnsi="Arial"/>
              </w:rPr>
            </w:pP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0">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w:cs="Arial" w:eastAsia="Arial" w:hAnsi="Arial"/>
                <w:b w:val="1"/>
              </w:rPr>
            </w:pPr>
            <w:hyperlink r:id="rId7">
              <w:r w:rsidDel="00000000" w:rsidR="00000000" w:rsidRPr="00000000">
                <w:rPr>
                  <w:rFonts w:ascii="Arial" w:cs="Arial" w:eastAsia="Arial" w:hAnsi="Arial"/>
                  <w:b w:val="1"/>
                  <w:color w:val="0563c1"/>
                  <w:u w:val="single"/>
                  <w:rtl w:val="0"/>
                </w:rPr>
                <w:t xml:space="preserve">https://alertadegenero.edomex.gob.mx/</w:t>
              </w:r>
            </w:hyperlink>
            <w:r w:rsidDel="00000000" w:rsidR="00000000" w:rsidRPr="00000000">
              <w:rPr>
                <w:rtl w:val="0"/>
              </w:rPr>
            </w:r>
          </w:p>
          <w:p w:rsidR="00000000" w:rsidDel="00000000" w:rsidP="00000000" w:rsidRDefault="00000000" w:rsidRPr="00000000" w14:paraId="00000086">
            <w:pPr>
              <w:rPr>
                <w:rFonts w:ascii="Arial" w:cs="Arial" w:eastAsia="Arial" w:hAnsi="Arial"/>
                <w:b w:val="1"/>
              </w:rPr>
            </w:pPr>
            <w:r w:rsidDel="00000000" w:rsidR="00000000" w:rsidRPr="00000000">
              <w:rPr>
                <w:rFonts w:ascii="Arial" w:cs="Arial" w:eastAsia="Arial" w:hAnsi="Arial"/>
                <w:b w:val="1"/>
                <w:rtl w:val="0"/>
              </w:rPr>
              <w:t xml:space="preserve">Las actas se encuentran disponibles en la siguiente dirección electrónica:</w:t>
            </w:r>
          </w:p>
          <w:p w:rsidR="00000000" w:rsidDel="00000000" w:rsidP="00000000" w:rsidRDefault="00000000" w:rsidRPr="00000000" w14:paraId="00000087">
            <w:pPr>
              <w:rPr>
                <w:rFonts w:ascii="Arial" w:cs="Arial" w:eastAsia="Arial" w:hAnsi="Arial"/>
                <w:b w:val="1"/>
              </w:rPr>
            </w:pPr>
            <w:hyperlink r:id="rId8">
              <w:r w:rsidDel="00000000" w:rsidR="00000000" w:rsidRPr="00000000">
                <w:rPr>
                  <w:rFonts w:ascii="Arial" w:cs="Arial" w:eastAsia="Arial" w:hAnsi="Arial"/>
                  <w:b w:val="1"/>
                  <w:color w:val="0563c1"/>
                  <w:u w:val="single"/>
                  <w:rtl w:val="0"/>
                </w:rPr>
                <w:t xml:space="preserve">https://alertadegenero.edomex.gob.mx/comites-tecnicos</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C">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La información relacionada con la Alerta de Género se encuentra disponible en la siguiente dirección electrónica:</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https://alertadegenero.edomex.gob.mx/</w:t>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8">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ind w:left="-340" w:firstLine="0"/>
              <w:rPr>
                <w:rFonts w:ascii="Arial" w:cs="Arial" w:eastAsia="Arial" w:hAnsi="Arial"/>
                <w:b w:val="1"/>
              </w:rPr>
            </w:pPr>
            <w:r w:rsidDel="00000000" w:rsidR="00000000" w:rsidRPr="00000000">
              <w:rPr>
                <w:rFonts w:ascii="Arial" w:cs="Arial" w:eastAsia="Arial" w:hAnsi="Arial"/>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Garantizar a las mujeres, adolescentes y niñas que se encuentran bajo su jurisdicción el cese de la violencia en su contra, garantizar el derecho a vivir en paz, su seguridad e integridad, mediante las acciones de prevención y seguridad que realizan los municipios con Alerta de Violencia de Género por Feminicidio y Desaparición, con el recurso destinado a la atención de esta.</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C">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E">
            <w:pPr>
              <w:rPr>
                <w:rFonts w:ascii="Arial" w:cs="Arial" w:eastAsia="Arial" w:hAnsi="Arial"/>
              </w:rPr>
            </w:pPr>
            <w:r w:rsidDel="00000000" w:rsidR="00000000" w:rsidRPr="00000000">
              <w:rPr>
                <w:rtl w:val="0"/>
              </w:rPr>
            </w:r>
          </w:p>
        </w:tc>
      </w:tr>
    </w:tbl>
    <w:p w:rsidR="00000000" w:rsidDel="00000000" w:rsidP="00000000" w:rsidRDefault="00000000" w:rsidRPr="00000000" w14:paraId="000000B1">
      <w:pPr>
        <w:rPr>
          <w:rFonts w:ascii="Arial" w:cs="Arial" w:eastAsia="Arial" w:hAnsi="Arial"/>
        </w:rPr>
      </w:pPr>
      <w:bookmarkStart w:colFirst="0" w:colLast="0" w:name="_heading=h.1fob9te" w:id="0"/>
      <w:bookmarkEnd w:id="0"/>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2">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5">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6">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7">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773" w:firstLine="0"/>
              <w:rPr>
                <w:rFonts w:ascii="Arial" w:cs="Arial" w:eastAsia="Arial" w:hAnsi="Arial"/>
                <w:b w:val="1"/>
              </w:rPr>
            </w:pPr>
            <w:r w:rsidDel="00000000" w:rsidR="00000000" w:rsidRPr="00000000">
              <w:rPr>
                <w:rFonts w:ascii="Arial" w:cs="Arial" w:eastAsia="Arial" w:hAnsi="Arial"/>
                <w:b w:val="1"/>
                <w:rtl w:val="0"/>
              </w:rPr>
              <w:t xml:space="preserve"> X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Ley General de Acceso de las Mujeres a una Vida Libre de Violencia.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Ley de Acceso de las Mujeres a una Vida Libre de Violencia del Estado de México.</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hyperlink r:id="rId9">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El Decreto del Ejecutivo del Estado para Atender la Declaratoria de Alerta de Violencia de Género contra las Mujeres para el Estado de México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La NOM-046-SSA2-2005. Violencia familiar, sexual y contra las mujeres. Criterios para la prevención y atención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hyperlink r:id="rId11">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El manual y protocolo de atención a víctimas u ofendidos del delito de feminicidio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integral en Materia de Desaparición de Personas del Estado de México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Mecanismos para la Operación de Recursos para la Mitigación de la Alerta de Violencia de Género contra las Mujeres por Feminicidio; y de la Alerta de Violencia de Género contra las Mujeres por Desaparición para el Estado de México, en el ejercicio fiscal 2024 (Pp 15).</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Acta de instalación de la primera sesión ordinaria del Comité Técnico para la Operación de Recursos para Mitigación de la Alerta de Violencia de Género contra las Mujeres por Feminicidio; y de la Alerta de Violencia de Género contra las Mujeres por Desaparición para el Estado de México, en el ejercicio fiscal 2024, de fecha 15 de marzo del 2024.</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265"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Declaratoria de Procedencia respecto a la solicitud de alerta de violencia de genero contra las mujeres para el estado de México (31 de julio 2015).</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rFonts w:ascii="Arial" w:cs="Arial" w:eastAsia="Arial" w:hAnsi="Arial"/>
              </w:rPr>
            </w:pPr>
            <w:r w:rsidDel="00000000" w:rsidR="00000000" w:rsidRPr="00000000">
              <w:rPr>
                <w:rtl w:val="0"/>
              </w:rPr>
            </w:r>
          </w:p>
        </w:tc>
      </w:tr>
    </w:tbl>
    <w:p w:rsidR="00000000" w:rsidDel="00000000" w:rsidP="00000000" w:rsidRDefault="00000000" w:rsidRPr="00000000" w14:paraId="000000CF">
      <w:pPr>
        <w:rPr>
          <w:rFonts w:ascii="Arial" w:cs="Arial" w:eastAsia="Arial" w:hAnsi="Arial"/>
        </w:rPr>
      </w:pPr>
      <w:r w:rsidDel="00000000" w:rsidR="00000000" w:rsidRPr="00000000">
        <w:rPr>
          <w:rtl w:val="0"/>
        </w:rPr>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0">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1">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ind w:hanging="187"/>
              <w:rPr>
                <w:rFonts w:ascii="Arial" w:cs="Arial" w:eastAsia="Arial" w:hAnsi="Arial"/>
                <w:b w:val="1"/>
              </w:rPr>
            </w:pPr>
            <w:r w:rsidDel="00000000" w:rsidR="00000000" w:rsidRPr="00000000">
              <w:rPr>
                <w:rFonts w:ascii="Arial" w:cs="Arial" w:eastAsia="Arial" w:hAnsi="Arial"/>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4">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ind w:left="-690" w:firstLine="0"/>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ind w:left="-690" w:firstLine="0"/>
              <w:rPr>
                <w:rFonts w:ascii="Arial" w:cs="Arial" w:eastAsia="Arial" w:hAnsi="Arial"/>
                <w:color w:val="ff0000"/>
              </w:rPr>
            </w:pPr>
            <w:r w:rsidDel="00000000" w:rsidR="00000000" w:rsidRPr="00000000">
              <w:rPr>
                <w:rFonts w:ascii="Arial" w:cs="Arial" w:eastAsia="Arial" w:hAnsi="Arial"/>
                <w:rtl w:val="0"/>
              </w:rPr>
              <w:t xml:space="preserve">Niñas, Adolescentes y Mujeres, en general. Su condición de niña, adolescente y/o mujer en situación de violencia</w:t>
            </w:r>
            <w:r w:rsidDel="00000000" w:rsidR="00000000" w:rsidRPr="00000000">
              <w:rPr>
                <w:rtl w:val="0"/>
              </w:rPr>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Observaciones: La información se difunde en Redes sociales y en la página oficial de la Secretaría de las Mujeres, en la siguiente dirección electrónica:</w:t>
            </w:r>
          </w:p>
          <w:p w:rsidR="00000000" w:rsidDel="00000000" w:rsidP="00000000" w:rsidRDefault="00000000" w:rsidRPr="00000000" w14:paraId="000000E3">
            <w:pPr>
              <w:rPr>
                <w:rFonts w:ascii="Arial" w:cs="Arial" w:eastAsia="Arial" w:hAnsi="Arial"/>
              </w:rPr>
            </w:pPr>
            <w:hyperlink r:id="rId13">
              <w:r w:rsidDel="00000000" w:rsidR="00000000" w:rsidRPr="00000000">
                <w:rPr>
                  <w:rFonts w:ascii="Arial" w:cs="Arial" w:eastAsia="Arial" w:hAnsi="Arial"/>
                  <w:color w:val="0563c1"/>
                  <w:u w:val="single"/>
                  <w:rtl w:val="0"/>
                </w:rPr>
                <w:t xml:space="preserve">https://semujeres.edomex.gob.mx/mexiquenses-vida-sin-violencia/alerta-violencia-genero</w:t>
              </w:r>
            </w:hyperlink>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Arial" w:cs="Arial" w:eastAsia="Arial" w:hAnsi="Arial"/>
              </w:rPr>
            </w:pPr>
            <w:r w:rsidDel="00000000" w:rsidR="00000000" w:rsidRPr="00000000">
              <w:rPr>
                <w:rtl w:val="0"/>
              </w:rPr>
            </w:r>
          </w:p>
        </w:tc>
      </w:tr>
    </w:tbl>
    <w:p w:rsidR="00000000" w:rsidDel="00000000" w:rsidP="00000000" w:rsidRDefault="00000000" w:rsidRPr="00000000" w14:paraId="000000F0">
      <w:pPr>
        <w:rPr>
          <w:rFonts w:ascii="Arial" w:cs="Arial" w:eastAsia="Arial" w:hAnsi="Arial"/>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Arial" w:cs="Arial" w:eastAsia="Arial" w:hAnsi="Arial"/>
                <w:b w:val="1"/>
              </w:rPr>
            </w:pPr>
            <w:r w:rsidDel="00000000" w:rsidR="00000000" w:rsidRPr="00000000">
              <w:rPr>
                <w:rFonts w:ascii="Arial" w:cs="Arial" w:eastAsia="Arial" w:hAnsi="Arial"/>
                <w:b w:val="1"/>
                <w:rtl w:val="0"/>
              </w:rPr>
              <w:t xml:space="preserve">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B">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D">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2">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5">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7">
            <w:pPr>
              <w:rPr>
                <w:rFonts w:ascii="Arial" w:cs="Arial" w:eastAsia="Arial" w:hAnsi="Arial"/>
              </w:rPr>
            </w:pPr>
            <w:r w:rsidDel="00000000" w:rsidR="00000000" w:rsidRPr="00000000">
              <w:rPr>
                <w:rtl w:val="0"/>
              </w:rPr>
            </w:r>
          </w:p>
        </w:tc>
      </w:tr>
    </w:tbl>
    <w:p w:rsidR="00000000" w:rsidDel="00000000" w:rsidP="00000000" w:rsidRDefault="00000000" w:rsidRPr="00000000" w14:paraId="0000010A">
      <w:pPr>
        <w:rPr>
          <w:rFonts w:ascii="Arial" w:cs="Arial" w:eastAsia="Arial" w:hAnsi="Arial"/>
        </w:rPr>
      </w:pPr>
      <w:r w:rsidDel="00000000" w:rsidR="00000000" w:rsidRPr="00000000">
        <w:rPr>
          <w:rtl w:val="0"/>
        </w:rPr>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ind w:hanging="634"/>
              <w:jc w:val="center"/>
              <w:rPr>
                <w:rFonts w:ascii="Arial" w:cs="Arial" w:eastAsia="Arial" w:hAnsi="Arial"/>
                <w:b w:val="1"/>
              </w:rPr>
            </w:pPr>
            <w:r w:rsidDel="00000000" w:rsidR="00000000" w:rsidRPr="00000000">
              <w:rPr>
                <w:rFonts w:ascii="Arial" w:cs="Arial" w:eastAsia="Arial" w:hAnsi="Arial"/>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Encuesta de satisfacción.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rFonts w:ascii="Arial" w:cs="Arial" w:eastAsia="Arial" w:hAnsi="Arial"/>
              </w:rPr>
            </w:pPr>
            <w:hyperlink r:id="rId14">
              <w:r w:rsidDel="00000000" w:rsidR="00000000" w:rsidRPr="00000000">
                <w:rPr>
                  <w:rFonts w:ascii="Arial" w:cs="Arial" w:eastAsia="Arial" w:hAnsi="Arial"/>
                  <w:color w:val="0563c1"/>
                  <w:u w:val="single"/>
                  <w:rtl w:val="0"/>
                </w:rPr>
                <w:t xml:space="preserve">https://alertadegenero.edomex.gob.mx/encuesta-satisfaccion</w:t>
              </w:r>
            </w:hyperlink>
            <w:r w:rsidDel="00000000" w:rsidR="00000000" w:rsidRPr="00000000">
              <w:rPr>
                <w:rtl w:val="0"/>
              </w:rPr>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rFonts w:ascii="Arial" w:cs="Arial" w:eastAsia="Arial" w:hAnsi="Arial"/>
              </w:rPr>
            </w:pPr>
            <w:bookmarkStart w:colFirst="0" w:colLast="0" w:name="_heading=h.gjdgxs" w:id="1"/>
            <w:bookmarkEnd w:id="1"/>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rPr>
                <w:rFonts w:ascii="Arial" w:cs="Arial" w:eastAsia="Arial" w:hAnsi="Arial"/>
              </w:rPr>
            </w:pPr>
            <w:r w:rsidDel="00000000" w:rsidR="00000000" w:rsidRPr="00000000">
              <w:rPr>
                <w:rtl w:val="0"/>
              </w:rPr>
            </w:r>
          </w:p>
        </w:tc>
      </w:tr>
    </w:tbl>
    <w:p w:rsidR="00000000" w:rsidDel="00000000" w:rsidP="00000000" w:rsidRDefault="00000000" w:rsidRPr="00000000" w14:paraId="00000133">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4">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ind w:hanging="284"/>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ind w:left="-396" w:firstLine="0"/>
              <w:rPr>
                <w:rFonts w:ascii="Arial" w:cs="Arial" w:eastAsia="Arial" w:hAnsi="Arial"/>
                <w:b w:val="1"/>
              </w:rPr>
            </w:pPr>
            <w:r w:rsidDel="00000000" w:rsidR="00000000" w:rsidRPr="00000000">
              <w:rPr>
                <w:rtl w:val="0"/>
              </w:rPr>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9">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both"/>
              <w:rPr>
                <w:rFonts w:ascii="Arial" w:cs="Arial" w:eastAsia="Arial" w:hAnsi="Arial"/>
              </w:rPr>
            </w:pPr>
            <w:r w:rsidDel="00000000" w:rsidR="00000000" w:rsidRPr="00000000">
              <w:rPr>
                <w:rFonts w:ascii="Arial" w:cs="Arial" w:eastAsia="Arial" w:hAnsi="Arial"/>
                <w:rtl w:val="0"/>
              </w:rPr>
              <w:t xml:space="preserve">Contador de visitas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both"/>
              <w:rPr>
                <w:rFonts w:ascii="Arial" w:cs="Arial" w:eastAsia="Arial" w:hAnsi="Arial"/>
              </w:rPr>
            </w:pPr>
            <w:hyperlink r:id="rId15">
              <w:r w:rsidDel="00000000" w:rsidR="00000000" w:rsidRPr="00000000">
                <w:rPr>
                  <w:rFonts w:ascii="Arial" w:cs="Arial" w:eastAsia="Arial" w:hAnsi="Arial"/>
                  <w:color w:val="0563c1"/>
                  <w:u w:val="single"/>
                  <w:rtl w:val="0"/>
                </w:rPr>
                <w:t xml:space="preserve">https://alertadegenero.edomex.gob.mx/</w:t>
              </w:r>
            </w:hyperlink>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D">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57">
      <w:pPr>
        <w:rPr>
          <w:rFonts w:ascii="Arial" w:cs="Arial" w:eastAsia="Arial" w:hAnsi="Arial"/>
        </w:rPr>
      </w:pPr>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8">
            <w:pPr>
              <w:ind w:left="-566" w:firstLine="0"/>
              <w:jc w:val="both"/>
              <w:rPr>
                <w:rFonts w:ascii="Arial" w:cs="Arial" w:eastAsia="Arial" w:hAnsi="Arial"/>
              </w:rPr>
            </w:pPr>
            <w:bookmarkStart w:colFirst="0" w:colLast="0" w:name="_heading=h.30j0zll" w:id="2"/>
            <w:bookmarkEnd w:id="2"/>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ind w:hanging="395"/>
              <w:jc w:val="both"/>
              <w:rPr>
                <w:rFonts w:ascii="Arial" w:cs="Arial" w:eastAsia="Arial" w:hAnsi="Arial"/>
              </w:rPr>
            </w:pPr>
            <w:r w:rsidDel="00000000" w:rsidR="00000000" w:rsidRPr="00000000">
              <w:rPr>
                <w:rFonts w:ascii="Arial" w:cs="Arial" w:eastAsia="Arial" w:hAnsi="Arial"/>
                <w:b w:val="1"/>
                <w:rtl w:val="0"/>
              </w:rPr>
              <w:t xml:space="preserve">X</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ind w:left="-526" w:right="34" w:firstLine="141"/>
              <w:jc w:val="both"/>
              <w:rPr>
                <w:rFonts w:ascii="Arial" w:cs="Arial" w:eastAsia="Arial" w:hAnsi="Arial"/>
                <w:b w:val="1"/>
              </w:rPr>
            </w:pPr>
            <w:r w:rsidDel="00000000" w:rsidR="00000000" w:rsidRPr="00000000">
              <w:rPr>
                <w:rtl w:val="0"/>
              </w:rPr>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Encuesta de satisfacción que incluye una escala que califica el micrositio. </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rFonts w:ascii="Arial" w:cs="Arial" w:eastAsia="Arial" w:hAnsi="Arial"/>
              </w:rPr>
            </w:pPr>
            <w:hyperlink r:id="rId16">
              <w:r w:rsidDel="00000000" w:rsidR="00000000" w:rsidRPr="00000000">
                <w:rPr>
                  <w:rFonts w:ascii="Arial" w:cs="Arial" w:eastAsia="Arial" w:hAnsi="Arial"/>
                  <w:color w:val="0563c1"/>
                  <w:u w:val="single"/>
                  <w:rtl w:val="0"/>
                </w:rPr>
                <w:t xml:space="preserve">https://alertadegenero.edomex.gob.mx/encuesta-satisfaccion</w:t>
              </w:r>
            </w:hyperlink>
            <w:r w:rsidDel="00000000" w:rsidR="00000000" w:rsidRPr="00000000">
              <w:rPr>
                <w:rtl w:val="0"/>
              </w:rPr>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rPr>
            </w:pPr>
            <w:r w:rsidDel="00000000" w:rsidR="00000000" w:rsidRPr="00000000">
              <w:rPr>
                <w:rtl w:val="0"/>
              </w:rPr>
            </w:r>
          </w:p>
        </w:tc>
      </w:tr>
    </w:tbl>
    <w:p w:rsidR="00000000" w:rsidDel="00000000" w:rsidP="00000000" w:rsidRDefault="00000000" w:rsidRPr="00000000" w14:paraId="0000017B">
      <w:pPr>
        <w:rPr>
          <w:rFonts w:ascii="Arial" w:cs="Arial" w:eastAsia="Arial" w:hAnsi="Arial"/>
        </w:rPr>
      </w:pPr>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rFonts w:ascii="Arial" w:cs="Arial" w:eastAsia="Arial" w:hAnsi="Arial"/>
              </w:rPr>
            </w:pPr>
            <w:r w:rsidDel="00000000" w:rsidR="00000000" w:rsidRPr="00000000">
              <w:rPr>
                <w:rFonts w:ascii="Arial" w:cs="Arial" w:eastAsia="Arial" w:hAnsi="Arial"/>
                <w:rtl w:val="0"/>
              </w:rPr>
              <w:t xml:space="preserve">La información de la Alerta de Género se encuentra disponible en las siguientes direcciones electrónicas:</w:t>
            </w:r>
          </w:p>
          <w:p w:rsidR="00000000" w:rsidDel="00000000" w:rsidP="00000000" w:rsidRDefault="00000000" w:rsidRPr="00000000" w14:paraId="0000017E">
            <w:pPr>
              <w:ind w:left="-548" w:firstLine="0"/>
              <w:rPr>
                <w:rFonts w:ascii="Arial" w:cs="Arial" w:eastAsia="Arial" w:hAnsi="Arial"/>
              </w:rPr>
            </w:pPr>
            <w:hyperlink r:id="rId17">
              <w:r w:rsidDel="00000000" w:rsidR="00000000" w:rsidRPr="00000000">
                <w:rPr>
                  <w:rFonts w:ascii="Arial" w:cs="Arial" w:eastAsia="Arial" w:hAnsi="Arial"/>
                  <w:color w:val="000000"/>
                  <w:u w:val="single"/>
                  <w:rtl w:val="0"/>
                </w:rPr>
                <w:t xml:space="preserve">https://legislacion.edomex.gob.mx/sites/legislacion.edomex.gob.mx/files/files/pdf/gct/2024/febrero/feb261/feb261f.pdf</w:t>
              </w:r>
            </w:hyperlink>
            <w:r w:rsidDel="00000000" w:rsidR="00000000" w:rsidRPr="00000000">
              <w:rPr>
                <w:rtl w:val="0"/>
              </w:rPr>
            </w:r>
          </w:p>
          <w:p w:rsidR="00000000" w:rsidDel="00000000" w:rsidP="00000000" w:rsidRDefault="00000000" w:rsidRPr="00000000" w14:paraId="0000017F">
            <w:pPr>
              <w:ind w:left="-548" w:firstLine="0"/>
              <w:rPr>
                <w:rFonts w:ascii="Arial" w:cs="Arial" w:eastAsia="Arial" w:hAnsi="Arial"/>
              </w:rPr>
            </w:pPr>
            <w:hyperlink r:id="rId18">
              <w:r w:rsidDel="00000000" w:rsidR="00000000" w:rsidRPr="00000000">
                <w:rPr>
                  <w:rFonts w:ascii="Arial" w:cs="Arial" w:eastAsia="Arial" w:hAnsi="Arial"/>
                  <w:color w:val="000000"/>
                  <w:u w:val="single"/>
                  <w:rtl w:val="0"/>
                </w:rPr>
                <w:t xml:space="preserve">https://www.diputados.gob.mx/LeyesBiblio/pdf/LGAMVLV.pdf</w:t>
              </w:r>
            </w:hyperlink>
            <w:r w:rsidDel="00000000" w:rsidR="00000000" w:rsidRPr="00000000">
              <w:rPr>
                <w:rtl w:val="0"/>
              </w:rPr>
            </w:r>
          </w:p>
          <w:p w:rsidR="00000000" w:rsidDel="00000000" w:rsidP="00000000" w:rsidRDefault="00000000" w:rsidRPr="00000000" w14:paraId="00000180">
            <w:pPr>
              <w:ind w:left="-548" w:firstLine="0"/>
              <w:rPr>
                <w:rFonts w:ascii="Arial" w:cs="Arial" w:eastAsia="Arial" w:hAnsi="Arial"/>
              </w:rPr>
            </w:pPr>
            <w:hyperlink r:id="rId19">
              <w:r w:rsidDel="00000000" w:rsidR="00000000" w:rsidRPr="00000000">
                <w:rPr>
                  <w:rFonts w:ascii="Arial" w:cs="Arial" w:eastAsia="Arial" w:hAnsi="Arial"/>
                  <w:color w:val="000000"/>
                  <w:u w:val="single"/>
                  <w:rtl w:val="0"/>
                </w:rPr>
                <w:t xml:space="preserve">https://legislacion.edomex.gob.mx/sites/legislacion.edomex.gob.mx/files/files/pdf/ley/vig/leyvig017.pdf</w:t>
              </w:r>
            </w:hyperlink>
            <w:r w:rsidDel="00000000" w:rsidR="00000000" w:rsidRPr="00000000">
              <w:rPr>
                <w:rtl w:val="0"/>
              </w:rPr>
            </w:r>
          </w:p>
          <w:p w:rsidR="00000000" w:rsidDel="00000000" w:rsidP="00000000" w:rsidRDefault="00000000" w:rsidRPr="00000000" w14:paraId="00000181">
            <w:pPr>
              <w:ind w:left="-548" w:firstLine="0"/>
              <w:rPr>
                <w:rFonts w:ascii="Arial" w:cs="Arial" w:eastAsia="Arial" w:hAnsi="Arial"/>
              </w:rPr>
            </w:pPr>
            <w:hyperlink r:id="rId20">
              <w:r w:rsidDel="00000000" w:rsidR="00000000" w:rsidRPr="00000000">
                <w:rPr>
                  <w:rFonts w:ascii="Arial" w:cs="Arial" w:eastAsia="Arial" w:hAnsi="Arial"/>
                  <w:color w:val="000000"/>
                  <w:u w:val="single"/>
                  <w:rtl w:val="0"/>
                </w:rPr>
                <w:t xml:space="preserve">https://legislacion.edomex.gob.mx/sites/legislacion.edomex.gob.mx/files/files/pdf/ley/vig/leyvig139.pdf</w:t>
              </w:r>
            </w:hyperlink>
            <w:r w:rsidDel="00000000" w:rsidR="00000000" w:rsidRPr="00000000">
              <w:rPr>
                <w:rtl w:val="0"/>
              </w:rPr>
            </w:r>
          </w:p>
          <w:p w:rsidR="00000000" w:rsidDel="00000000" w:rsidP="00000000" w:rsidRDefault="00000000" w:rsidRPr="00000000" w14:paraId="00000182">
            <w:pPr>
              <w:ind w:left="-548" w:firstLine="0"/>
              <w:rPr>
                <w:rFonts w:ascii="Arial" w:cs="Arial" w:eastAsia="Arial" w:hAnsi="Arial"/>
                <w:color w:val="000000"/>
                <w:u w:val="single"/>
              </w:rPr>
            </w:pPr>
            <w:hyperlink r:id="rId21">
              <w:r w:rsidDel="00000000" w:rsidR="00000000" w:rsidRPr="00000000">
                <w:rPr>
                  <w:rFonts w:ascii="Arial" w:cs="Arial" w:eastAsia="Arial" w:hAnsi="Arial"/>
                  <w:color w:val="000000"/>
                  <w:u w:val="single"/>
                  <w:rtl w:val="0"/>
                </w:rPr>
                <w:t xml:space="preserve">https://alertadegenero.edomex.gob.mx/</w:t>
              </w:r>
            </w:hyperlink>
            <w:r w:rsidDel="00000000" w:rsidR="00000000" w:rsidRPr="00000000">
              <w:rPr>
                <w:rtl w:val="0"/>
              </w:rPr>
            </w:r>
          </w:p>
          <w:p w:rsidR="00000000" w:rsidDel="00000000" w:rsidP="00000000" w:rsidRDefault="00000000" w:rsidRPr="00000000" w14:paraId="00000183">
            <w:pPr>
              <w:ind w:left="-548" w:firstLine="0"/>
              <w:rPr>
                <w:rFonts w:ascii="Arial" w:cs="Arial" w:eastAsia="Arial" w:hAnsi="Arial"/>
                <w:color w:val="000000"/>
                <w:u w:val="single"/>
              </w:rPr>
            </w:pPr>
            <w:hyperlink r:id="rId22">
              <w:r w:rsidDel="00000000" w:rsidR="00000000" w:rsidRPr="00000000">
                <w:rPr>
                  <w:rFonts w:ascii="Arial" w:cs="Arial" w:eastAsia="Arial" w:hAnsi="Arial"/>
                  <w:color w:val="000000"/>
                  <w:u w:val="single"/>
                  <w:rtl w:val="0"/>
                </w:rPr>
                <w:t xml:space="preserve">https://alertadegenero.edomex.gob.mx/municipios_alerta</w:t>
              </w:r>
            </w:hyperlink>
            <w:r w:rsidDel="00000000" w:rsidR="00000000" w:rsidRPr="00000000">
              <w:rPr>
                <w:rtl w:val="0"/>
              </w:rPr>
            </w:r>
          </w:p>
          <w:p w:rsidR="00000000" w:rsidDel="00000000" w:rsidP="00000000" w:rsidRDefault="00000000" w:rsidRPr="00000000" w14:paraId="00000184">
            <w:pPr>
              <w:ind w:left="-548" w:firstLine="0"/>
              <w:rPr>
                <w:rFonts w:ascii="Arial" w:cs="Arial" w:eastAsia="Arial" w:hAnsi="Arial"/>
                <w:color w:val="000000"/>
                <w:u w:val="single"/>
              </w:rPr>
            </w:pPr>
            <w:hyperlink r:id="rId23">
              <w:r w:rsidDel="00000000" w:rsidR="00000000" w:rsidRPr="00000000">
                <w:rPr>
                  <w:rFonts w:ascii="Arial" w:cs="Arial" w:eastAsia="Arial" w:hAnsi="Arial"/>
                  <w:color w:val="000000"/>
                  <w:u w:val="single"/>
                  <w:rtl w:val="0"/>
                </w:rPr>
                <w:t xml:space="preserve">https://alertadegenero.edomex.gob.mx/zonas_riesgo</w:t>
              </w:r>
            </w:hyperlink>
            <w:r w:rsidDel="00000000" w:rsidR="00000000" w:rsidRPr="00000000">
              <w:rPr>
                <w:rtl w:val="0"/>
              </w:rPr>
            </w:r>
          </w:p>
          <w:p w:rsidR="00000000" w:rsidDel="00000000" w:rsidP="00000000" w:rsidRDefault="00000000" w:rsidRPr="00000000" w14:paraId="00000185">
            <w:pPr>
              <w:ind w:left="-548" w:firstLine="0"/>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https://alertadegenero.edomex.gob.mx/sites/alertadegenero.edomex.gob.mx/files/files/CHALCO.pdf</w:t>
            </w:r>
          </w:p>
          <w:p w:rsidR="00000000" w:rsidDel="00000000" w:rsidP="00000000" w:rsidRDefault="00000000" w:rsidRPr="00000000" w14:paraId="00000186">
            <w:pPr>
              <w:ind w:left="-548" w:firstLine="0"/>
              <w:rPr>
                <w:rFonts w:ascii="Arial" w:cs="Arial" w:eastAsia="Arial" w:hAnsi="Arial"/>
                <w:color w:val="000000"/>
                <w:u w:val="single"/>
              </w:rPr>
            </w:pPr>
            <w:hyperlink r:id="rId24">
              <w:r w:rsidDel="00000000" w:rsidR="00000000" w:rsidRPr="00000000">
                <w:rPr>
                  <w:rFonts w:ascii="Arial" w:cs="Arial" w:eastAsia="Arial" w:hAnsi="Arial"/>
                  <w:color w:val="000000"/>
                  <w:u w:val="single"/>
                  <w:rtl w:val="0"/>
                </w:rPr>
                <w:t xml:space="preserve">https://alertadegenero.edomex.gob.mx/chalco</w:t>
              </w:r>
            </w:hyperlink>
            <w:r w:rsidDel="00000000" w:rsidR="00000000" w:rsidRPr="00000000">
              <w:rPr>
                <w:rtl w:val="0"/>
              </w:rPr>
            </w:r>
          </w:p>
          <w:p w:rsidR="00000000" w:rsidDel="00000000" w:rsidP="00000000" w:rsidRDefault="00000000" w:rsidRPr="00000000" w14:paraId="00000187">
            <w:pPr>
              <w:ind w:left="-548" w:firstLine="0"/>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https://alertadegenero.edomex.gob.mx/comites-tecnicos</w:t>
            </w:r>
          </w:p>
          <w:p w:rsidR="00000000" w:rsidDel="00000000" w:rsidP="00000000" w:rsidRDefault="00000000" w:rsidRPr="00000000" w14:paraId="00000188">
            <w:pPr>
              <w:ind w:left="-548" w:firstLine="0"/>
              <w:rPr>
                <w:rFonts w:ascii="Arial" w:cs="Arial" w:eastAsia="Arial" w:hAnsi="Arial"/>
                <w:color w:val="000000"/>
                <w:u w:val="single"/>
              </w:rPr>
            </w:pPr>
            <w:hyperlink r:id="rId25">
              <w:r w:rsidDel="00000000" w:rsidR="00000000" w:rsidRPr="00000000">
                <w:rPr>
                  <w:rFonts w:ascii="Arial" w:cs="Arial" w:eastAsia="Arial" w:hAnsi="Arial"/>
                  <w:color w:val="0563c1"/>
                  <w:u w:val="single"/>
                  <w:rtl w:val="0"/>
                </w:rPr>
                <w:t xml:space="preserve">https://alertadegenero.edomex.gob.mx/acciones</w:t>
              </w:r>
            </w:hyperlink>
            <w:r w:rsidDel="00000000" w:rsidR="00000000" w:rsidRPr="00000000">
              <w:rPr>
                <w:rtl w:val="0"/>
              </w:rPr>
            </w:r>
          </w:p>
          <w:p w:rsidR="00000000" w:rsidDel="00000000" w:rsidP="00000000" w:rsidRDefault="00000000" w:rsidRPr="00000000" w14:paraId="00000189">
            <w:pPr>
              <w:ind w:left="-548" w:firstLine="0"/>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https://alertadegenero.edomex.gob.mx/integrantes-mecanismo</w:t>
            </w:r>
          </w:p>
          <w:p w:rsidR="00000000" w:rsidDel="00000000" w:rsidP="00000000" w:rsidRDefault="00000000" w:rsidRPr="00000000" w14:paraId="0000018A">
            <w:pP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18B">
      <w:pPr>
        <w:rPr>
          <w:rFonts w:ascii="Arial" w:cs="Arial" w:eastAsia="Arial" w:hAnsi="Arial"/>
        </w:rPr>
      </w:pPr>
      <w:r w:rsidDel="00000000" w:rsidR="00000000" w:rsidRPr="00000000">
        <w:rPr>
          <w:rtl w:val="0"/>
        </w:rPr>
      </w:r>
    </w:p>
    <w:sectPr>
      <w:headerReference r:id="rId26" w:type="default"/>
      <w:footerReference r:id="rId27"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3"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7757E0"/>
    <w:rPr>
      <w:color w:val="605e5c"/>
      <w:shd w:color="auto" w:fill="e1dfdd" w:val="clear"/>
    </w:rPr>
  </w:style>
  <w:style w:type="character" w:styleId="Refdecomentario">
    <w:name w:val="annotation reference"/>
    <w:basedOn w:val="Fuentedeprrafopredeter"/>
    <w:uiPriority w:val="99"/>
    <w:semiHidden w:val="1"/>
    <w:unhideWhenUsed w:val="1"/>
    <w:rsid w:val="00F02FC4"/>
    <w:rPr>
      <w:sz w:val="16"/>
      <w:szCs w:val="16"/>
    </w:rPr>
  </w:style>
  <w:style w:type="paragraph" w:styleId="Textocomentario">
    <w:name w:val="annotation text"/>
    <w:basedOn w:val="Normal"/>
    <w:link w:val="TextocomentarioCar"/>
    <w:uiPriority w:val="99"/>
    <w:semiHidden w:val="1"/>
    <w:unhideWhenUsed w:val="1"/>
    <w:rsid w:val="00F02FC4"/>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02FC4"/>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02FC4"/>
    <w:rPr>
      <w:b w:val="1"/>
      <w:bCs w:val="1"/>
    </w:rPr>
  </w:style>
  <w:style w:type="character" w:styleId="AsuntodelcomentarioCar" w:customStyle="1">
    <w:name w:val="Asunto del comentario Car"/>
    <w:basedOn w:val="TextocomentarioCar"/>
    <w:link w:val="Asuntodelcomentario"/>
    <w:uiPriority w:val="99"/>
    <w:semiHidden w:val="1"/>
    <w:rsid w:val="00F02FC4"/>
    <w:rPr>
      <w:b w:val="1"/>
      <w:bCs w:val="1"/>
      <w:sz w:val="20"/>
      <w:szCs w:val="20"/>
    </w:rPr>
  </w:style>
  <w:style w:type="character" w:styleId="Textoennegrita">
    <w:name w:val="Strong"/>
    <w:basedOn w:val="Fuentedeprrafopredeter"/>
    <w:uiPriority w:val="22"/>
    <w:qFormat w:val="1"/>
    <w:rsid w:val="0075216B"/>
    <w:rPr>
      <w:b w:val="1"/>
      <w:bCs w:val="1"/>
    </w:rPr>
  </w:style>
  <w:style w:type="paragraph" w:styleId="rtejustify" w:customStyle="1">
    <w:name w:val="rtejustify"/>
    <w:basedOn w:val="Normal"/>
    <w:rsid w:val="004F2C9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cion.edomex.gob.mx/sites/legislacion.edomex.gob.mx/files/files/pdf/ley/vig/leyvig139.pdf" TargetMode="External"/><Relationship Id="rId22" Type="http://schemas.openxmlformats.org/officeDocument/2006/relationships/hyperlink" Target="https://alertadegenero.edomex.gob.mx/municipios_alerta" TargetMode="External"/><Relationship Id="rId21" Type="http://schemas.openxmlformats.org/officeDocument/2006/relationships/hyperlink" Target="https://alertadegenero.edomex.gob.mx/" TargetMode="External"/><Relationship Id="rId24" Type="http://schemas.openxmlformats.org/officeDocument/2006/relationships/hyperlink" Target="https://alertadegenero.edomex.gob.mx/chalco" TargetMode="External"/><Relationship Id="rId23" Type="http://schemas.openxmlformats.org/officeDocument/2006/relationships/hyperlink" Target="https://alertadegenero.edomex.gob.mx/zonas_riesg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ertadegenero.edomex.gob.mx/sites/alertadegenero.edomex.gob.mx/files/files/principales/Decreto_Desap%20(2).pdf" TargetMode="External"/><Relationship Id="rId26" Type="http://schemas.openxmlformats.org/officeDocument/2006/relationships/header" Target="header1.xml"/><Relationship Id="rId25" Type="http://schemas.openxmlformats.org/officeDocument/2006/relationships/hyperlink" Target="https://alertadegenero.edomex.gob.mx/acciones"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lertadegenero.edomex.gob.mx/" TargetMode="External"/><Relationship Id="rId8" Type="http://schemas.openxmlformats.org/officeDocument/2006/relationships/hyperlink" Target="https://alertadegenero.edomex.gob.mx/comites-tecnicos" TargetMode="External"/><Relationship Id="rId11" Type="http://schemas.openxmlformats.org/officeDocument/2006/relationships/hyperlink" Target="https://alertadegenero.edomex.gob.mx/sites/alertadegenero.edomex.gob.mx/files/files/manual%20y%20protocolo.pdf" TargetMode="External"/><Relationship Id="rId10" Type="http://schemas.openxmlformats.org/officeDocument/2006/relationships/hyperlink" Target="https://alertadegenero.edomex.gob.mx/sites/alertadegenero.edomex.gob.mx/files/files/NOM-046_Modificada_DOF-24_03_2016.pdf" TargetMode="External"/><Relationship Id="rId13" Type="http://schemas.openxmlformats.org/officeDocument/2006/relationships/hyperlink" Target="https://semujeres.edomex.gob.mx/mexiquenses-vida-sin-violencia/alerta-violencia-genero" TargetMode="External"/><Relationship Id="rId12" Type="http://schemas.openxmlformats.org/officeDocument/2006/relationships/hyperlink" Target="https://alertadegenero.edomex.gob.mx/sites/alertadegenero.edomex.gob.mx/files/files/Plan%20Integral%20en%20Materia%20de%20Desaparicio%C3%ACn%2006jun2020%20(1).pdf" TargetMode="External"/><Relationship Id="rId15" Type="http://schemas.openxmlformats.org/officeDocument/2006/relationships/hyperlink" Target="https://alertadegenero.edomex.gob.mx/" TargetMode="External"/><Relationship Id="rId14" Type="http://schemas.openxmlformats.org/officeDocument/2006/relationships/hyperlink" Target="https://alertadegenero.edomex.gob.mx/encuesta-satisfaccion" TargetMode="External"/><Relationship Id="rId17" Type="http://schemas.openxmlformats.org/officeDocument/2006/relationships/hyperlink" Target="https://legislacion.edomex.gob.mx/sites/legislacion.edomex.gob.mx/files/files/pdf/gct/2024/febrero/feb261/feb261f.pdf" TargetMode="External"/><Relationship Id="rId16" Type="http://schemas.openxmlformats.org/officeDocument/2006/relationships/hyperlink" Target="https://alertadegenero.edomex.gob.mx/encuesta-satisfaccion" TargetMode="External"/><Relationship Id="rId19" Type="http://schemas.openxmlformats.org/officeDocument/2006/relationships/hyperlink" Target="https://legislacion.edomex.gob.mx/sites/legislacion.edomex.gob.mx/files/files/pdf/ley/vig/leyvig017.pdf" TargetMode="External"/><Relationship Id="rId18" Type="http://schemas.openxmlformats.org/officeDocument/2006/relationships/hyperlink" Target="https://www.diputados.gob.mx/LeyesBiblio/pdf/LGAMVLV.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m8KFuql1jC+U4hEGNLpfLgZXg==">CgMxLjAyCWguMWZvYjl0ZTIIaC5namRneHMyCWguMzBqMHpsbDgAciExQTZEYkhEQ2J5SHVQT0hxNktmLUgwNzhvSzRweXJfelc=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2024-06-24T22:31:00Z</dcterms:created>
  <dc:creator>Jonathan Guillermo Munoz Acevedo</dc:creator>
</cp:coreProperties>
</file>