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highlight w:val="yellow"/>
              </w:rPr>
            </w:pPr>
            <w:r w:rsidDel="00000000" w:rsidR="00000000" w:rsidRPr="00000000">
              <w:rPr>
                <w:rFonts w:ascii="Arial" w:cs="Arial" w:eastAsia="Arial" w:hAnsi="Arial"/>
                <w:rtl w:val="0"/>
              </w:rPr>
              <w:t xml:space="preserve">Nombre de la práctica de Transparencia Proactiva:</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ind w:left="-718" w:right="62"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04">
            <w:pPr>
              <w:ind w:left="-724" w:firstLine="0"/>
              <w:jc w:val="both"/>
              <w:rPr>
                <w:rFonts w:ascii="Arial" w:cs="Arial" w:eastAsia="Arial" w:hAnsi="Arial"/>
                <w:highlight w:val="yellow"/>
              </w:rPr>
            </w:pPr>
            <w:r w:rsidDel="00000000" w:rsidR="00000000" w:rsidRPr="00000000">
              <w:rPr>
                <w:rFonts w:ascii="Arial" w:cs="Arial" w:eastAsia="Arial" w:hAnsi="Arial"/>
                <w:rtl w:val="0"/>
              </w:rPr>
              <w:t xml:space="preserve">Mapa Interactivo de los Informes en Tiempo Real de Quejas, Asesorías, Capacitaciones y Solicitudes de Amnistía y Opiniones Consultivas.</w:t>
            </w:r>
            <w:r w:rsidDel="00000000" w:rsidR="00000000" w:rsidRPr="00000000">
              <w:rPr>
                <w:rtl w:val="0"/>
              </w:rPr>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8">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ind w:left="-724" w:firstLine="0"/>
              <w:rPr>
                <w:rFonts w:ascii="Arial" w:cs="Arial" w:eastAsia="Arial" w:hAnsi="Arial"/>
              </w:rPr>
            </w:pPr>
            <w:r w:rsidDel="00000000" w:rsidR="00000000" w:rsidRPr="00000000">
              <w:rPr>
                <w:rFonts w:ascii="Arial" w:cs="Arial" w:eastAsia="Arial" w:hAnsi="Arial"/>
                <w:rtl w:val="0"/>
              </w:rPr>
              <w:t xml:space="preserve">Comisión de Derechos Humanos del Estado de México</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E">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ind w:left="-724" w:firstLine="0"/>
              <w:rPr>
                <w:rFonts w:ascii="Arial" w:cs="Arial" w:eastAsia="Arial" w:hAnsi="Arial"/>
              </w:rPr>
            </w:pPr>
            <w:r w:rsidDel="00000000" w:rsidR="00000000" w:rsidRPr="00000000">
              <w:rPr>
                <w:rFonts w:ascii="Arial" w:cs="Arial" w:eastAsia="Arial" w:hAnsi="Arial"/>
                <w:rtl w:val="0"/>
              </w:rPr>
              <w:t xml:space="preserve">Organismo Autónomo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4">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ind w:left="-724" w:firstLine="0"/>
              <w:rPr>
                <w:rFonts w:ascii="Arial" w:cs="Arial" w:eastAsia="Arial" w:hAnsi="Arial"/>
              </w:rPr>
            </w:pPr>
            <w:r w:rsidDel="00000000" w:rsidR="00000000" w:rsidRPr="00000000">
              <w:rPr>
                <w:rFonts w:ascii="Arial" w:cs="Arial" w:eastAsia="Arial" w:hAnsi="Arial"/>
                <w:rtl w:val="0"/>
              </w:rPr>
              <w:t xml:space="preserve">Dirección de Tecnologías de la Información y Comunicación; y la Unidad de Información, Planeación, Programación y Evaluación</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A">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ind w:left="-724" w:firstLine="0"/>
              <w:rPr>
                <w:rFonts w:ascii="Arial" w:cs="Arial" w:eastAsia="Arial" w:hAnsi="Arial"/>
              </w:rPr>
            </w:pPr>
            <w:r w:rsidDel="00000000" w:rsidR="00000000" w:rsidRPr="00000000">
              <w:rPr>
                <w:rFonts w:ascii="Arial" w:cs="Arial" w:eastAsia="Arial" w:hAnsi="Arial"/>
                <w:rtl w:val="0"/>
              </w:rPr>
              <w:t xml:space="preserve">L.A.E. Erika Y. Funes Velázquez</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F">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ind w:hanging="439"/>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6">
      <w:pPr>
        <w:jc w:val="both"/>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rPr>
      </w:pPr>
      <w:r w:rsidDel="00000000" w:rsidR="00000000" w:rsidRPr="00000000">
        <w:rPr>
          <w:rFonts w:ascii="Arial" w:cs="Arial" w:eastAsia="Arial" w:hAnsi="Arial"/>
          <w:b w:val="1"/>
          <w:rtl w:val="0"/>
        </w:rPr>
        <w:t xml:space="preserve">Mencione el año en el que surgió la práctica y si se encuentra vigente: </w:t>
      </w:r>
    </w:p>
    <w:p w:rsidR="00000000" w:rsidDel="00000000" w:rsidP="00000000" w:rsidRDefault="00000000" w:rsidRPr="00000000" w14:paraId="00000028">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Surge en el año 2023, año en el cual se participó y se consiguió el reconocimiento, encontrándose vigente y actualizada, misma que se puede visualizar en la página web de esta Casa de la Dignidad y las Libertades, siendo el siguiente enlace </w:t>
      </w:r>
      <w:hyperlink r:id="rId7">
        <w:r w:rsidDel="00000000" w:rsidR="00000000" w:rsidRPr="00000000">
          <w:rPr>
            <w:rFonts w:ascii="Arial" w:cs="Arial" w:eastAsia="Arial" w:hAnsi="Arial"/>
            <w:color w:val="0563c1"/>
            <w:u w:val="single"/>
            <w:rtl w:val="0"/>
          </w:rPr>
          <w:t xml:space="preserve">https://www.codhem.org.mx/transparencia-proactiva/</w:t>
        </w:r>
      </w:hyperlink>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rPr>
      </w:pPr>
      <w:r w:rsidDel="00000000" w:rsidR="00000000" w:rsidRPr="00000000">
        <w:rPr>
          <w:rFonts w:ascii="Arial" w:cs="Arial" w:eastAsia="Arial" w:hAnsi="Arial"/>
          <w:b w:val="1"/>
          <w:rtl w:val="0"/>
        </w:rPr>
        <w:t xml:space="preserve">Explique de forma sintetizada cuál es el objetivo de la práctica de Transparencia Proactiva: </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Además de promover el ejercicio de las buenas prácticas de transparencia proactiva y con ello fortalecer la rendición de cuentas, el objetivo principal es poner a disposición de la ciudadanía información útil, confiable, relevante, veraz y dinámica sobre Quejas, Asesorías, Capacitaciones y Solicitudes de Amnistía y Opiniones Consultivas, mejorando la interacción con la ciudadanía y la eficacia en la gestión de la información.</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Este proyecto se construye sobre la base del exitoso mapa interactivo de quejas y capacitaciones, implementado previamente. La evolución hacia Datamarts y la incorporación de tecnologías de Big Data como Dataflow, Datamart y Business Intelligence permite una mayor profundidad en el análisis de datos y una mejor presentación de información relevante, ofreciendo una herramienta aún más poderosa y efectiva para la transparencia y rendición de cuentas.</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Además, hemos integrado Open Data Services (ODS) para mejorar aún más la accesibilidad y utilidad de los datos. ODS proporciona un marco estándar para compartir y consumir datos abiertos, lo que facilita la interoperabilidad y el uso de los datos por parte de la ciudadanía y otras entidades gubernamentales. Esto amplía el alcance y la transparencia de la información proporcionada, permitiendo un análisis más profundo y una participación ciudadana más informada</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Esta práctica, no solo mejora la visibilidad y accesibilidad de la información, sino que también establece un nuevo estándar en el uso de tecnologías de Big Data y Open Data para la transparencia y la rendición de cuentas en el sector público. Al presentar la información de forma amigable y transparente, la plataforma facilita el acceso y la comprensión de datos relevantes para toda la población.</w:t>
      </w:r>
    </w:p>
    <w:p w:rsidR="00000000" w:rsidDel="00000000" w:rsidP="00000000" w:rsidRDefault="00000000" w:rsidRPr="00000000" w14:paraId="0000002F">
      <w:pPr>
        <w:jc w:val="both"/>
        <w:rPr>
          <w:rFonts w:ascii="Arial" w:cs="Arial" w:eastAsia="Arial" w:hAnsi="Arial"/>
          <w:b w:val="1"/>
        </w:rPr>
      </w:pPr>
      <w:r w:rsidDel="00000000" w:rsidR="00000000" w:rsidRPr="00000000">
        <w:rPr>
          <w:rFonts w:ascii="Arial" w:cs="Arial" w:eastAsia="Arial" w:hAnsi="Arial"/>
          <w:b w:val="1"/>
          <w:rtl w:val="0"/>
        </w:rPr>
        <w:t xml:space="preserve">Explique de forma breve cómo funciona la práctica de Transparencia Proactiva:  </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Este proyecto se centra en la implementación de tecnologías de Big Data y Open Data Services (ODS) para desarrollar una plataforma de paneles interactivos que visualizan y analizan detalladamente la información de los trámites proporcionados por la Comisión de Derechos Humanos del Estado de México (CODHEM). Utilizando herramientas como Dataflow, Datamart y Business Intelligence, la plataforma consolida y presenta información clave de manera amigable y transparente, accesible para toda la población.</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Adicional </w:t>
      </w:r>
      <w:r w:rsidDel="00000000" w:rsidR="00000000" w:rsidRPr="00000000">
        <w:rPr>
          <w:rFonts w:ascii="Arial" w:cs="Arial" w:eastAsia="Arial" w:hAnsi="Arial"/>
          <w:b w:val="1"/>
          <w:u w:val="single"/>
          <w:rtl w:val="0"/>
        </w:rPr>
        <w:t xml:space="preserve">al mapa de calor</w:t>
      </w:r>
      <w:r w:rsidDel="00000000" w:rsidR="00000000" w:rsidRPr="00000000">
        <w:rPr>
          <w:rFonts w:ascii="Arial" w:cs="Arial" w:eastAsia="Arial" w:hAnsi="Arial"/>
          <w:rtl w:val="0"/>
        </w:rPr>
        <w:t xml:space="preserve"> en el que se puede visualizar la información sobre </w:t>
      </w:r>
      <w:r w:rsidDel="00000000" w:rsidR="00000000" w:rsidRPr="00000000">
        <w:rPr>
          <w:rFonts w:ascii="Arial" w:cs="Arial" w:eastAsia="Arial" w:hAnsi="Arial"/>
          <w:u w:val="single"/>
          <w:rtl w:val="0"/>
        </w:rPr>
        <w:t xml:space="preserve">las quejas presentadas en contra de las instituciones y/o personas servidoras públicas, frente a las capacitaciones otorgadas</w:t>
      </w:r>
      <w:r w:rsidDel="00000000" w:rsidR="00000000" w:rsidRPr="00000000">
        <w:rPr>
          <w:rFonts w:ascii="Arial" w:cs="Arial" w:eastAsia="Arial" w:hAnsi="Arial"/>
          <w:rtl w:val="0"/>
        </w:rPr>
        <w:t xml:space="preserve">, ahora se pueden encontrar de manera gráfica, el </w:t>
      </w:r>
      <w:r w:rsidDel="00000000" w:rsidR="00000000" w:rsidRPr="00000000">
        <w:rPr>
          <w:rFonts w:ascii="Arial" w:cs="Arial" w:eastAsia="Arial" w:hAnsi="Arial"/>
          <w:u w:val="single"/>
          <w:rtl w:val="0"/>
        </w:rPr>
        <w:t xml:space="preserve">total de trámites</w:t>
      </w:r>
      <w:r w:rsidDel="00000000" w:rsidR="00000000" w:rsidRPr="00000000">
        <w:rPr>
          <w:rFonts w:ascii="Arial" w:cs="Arial" w:eastAsia="Arial" w:hAnsi="Arial"/>
          <w:rtl w:val="0"/>
        </w:rPr>
        <w:t xml:space="preserve"> realizados por esta Casa de la Dignidad y las Libertades, así como los </w:t>
      </w:r>
      <w:r w:rsidDel="00000000" w:rsidR="00000000" w:rsidRPr="00000000">
        <w:rPr>
          <w:rFonts w:ascii="Arial" w:cs="Arial" w:eastAsia="Arial" w:hAnsi="Arial"/>
          <w:u w:val="single"/>
          <w:rtl w:val="0"/>
        </w:rPr>
        <w:t xml:space="preserve">informes interactivos</w:t>
      </w:r>
      <w:r w:rsidDel="00000000" w:rsidR="00000000" w:rsidRPr="00000000">
        <w:rPr>
          <w:rFonts w:ascii="Arial" w:cs="Arial" w:eastAsia="Arial" w:hAnsi="Arial"/>
          <w:rtl w:val="0"/>
        </w:rPr>
        <w:t xml:space="preserve"> en tiempo real de </w:t>
      </w:r>
      <w:r w:rsidDel="00000000" w:rsidR="00000000" w:rsidRPr="00000000">
        <w:rPr>
          <w:rFonts w:ascii="Arial" w:cs="Arial" w:eastAsia="Arial" w:hAnsi="Arial"/>
          <w:u w:val="single"/>
          <w:rtl w:val="0"/>
        </w:rPr>
        <w:t xml:space="preserve">Quejas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Asesorías</w:t>
      </w:r>
      <w:r w:rsidDel="00000000" w:rsidR="00000000" w:rsidRPr="00000000">
        <w:rPr>
          <w:rFonts w:ascii="Arial" w:cs="Arial" w:eastAsia="Arial" w:hAnsi="Arial"/>
          <w:rtl w:val="0"/>
        </w:rPr>
        <w:t xml:space="preserve"> y </w:t>
      </w:r>
      <w:r w:rsidDel="00000000" w:rsidR="00000000" w:rsidRPr="00000000">
        <w:rPr>
          <w:rFonts w:ascii="Arial" w:cs="Arial" w:eastAsia="Arial" w:hAnsi="Arial"/>
          <w:u w:val="single"/>
          <w:rtl w:val="0"/>
        </w:rPr>
        <w:t xml:space="preserve">solicitudes de Amnistía y Opiniones Consultivas</w:t>
      </w:r>
      <w:r w:rsidDel="00000000" w:rsidR="00000000" w:rsidRPr="00000000">
        <w:rPr>
          <w:rFonts w:ascii="Arial" w:cs="Arial" w:eastAsia="Arial" w:hAnsi="Arial"/>
          <w:rtl w:val="0"/>
        </w:rPr>
        <w:t xml:space="preserve">, esta información se encuentra en un Micrositio, llamado “Transparencia Proactiva”, mismos que se describen a continuación:</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El </w:t>
      </w:r>
      <w:r w:rsidDel="00000000" w:rsidR="00000000" w:rsidRPr="00000000">
        <w:rPr>
          <w:rFonts w:ascii="Arial" w:cs="Arial" w:eastAsia="Arial" w:hAnsi="Arial"/>
          <w:u w:val="single"/>
          <w:rtl w:val="0"/>
        </w:rPr>
        <w:t xml:space="preserve">informe en tiempo real del total de tramites</w:t>
      </w:r>
      <w:r w:rsidDel="00000000" w:rsidR="00000000" w:rsidRPr="00000000">
        <w:rPr>
          <w:rFonts w:ascii="Arial" w:cs="Arial" w:eastAsia="Arial" w:hAnsi="Arial"/>
          <w:rtl w:val="0"/>
        </w:rPr>
        <w:t xml:space="preserve"> es una herramienta gráfica que permite concentrar el total de trámites realizados por año y por tipo (amnistía, canalización, gestión, información, mediación, orientación, queja, remisión, restitución dh y visitaduría intinerante), por municipio, por visitaduría, por género y por materia.</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El informe en tiempo real de quejas nos permite concentrar las quejas por fecha, tipo de recepción, programa, municipio, estatus, conclusión y materia.</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El </w:t>
      </w:r>
      <w:r w:rsidDel="00000000" w:rsidR="00000000" w:rsidRPr="00000000">
        <w:rPr>
          <w:rFonts w:ascii="Arial" w:cs="Arial" w:eastAsia="Arial" w:hAnsi="Arial"/>
          <w:u w:val="single"/>
          <w:rtl w:val="0"/>
        </w:rPr>
        <w:t xml:space="preserve">informe en tiempo real de asesorías</w:t>
      </w:r>
      <w:r w:rsidDel="00000000" w:rsidR="00000000" w:rsidRPr="00000000">
        <w:rPr>
          <w:rFonts w:ascii="Arial" w:cs="Arial" w:eastAsia="Arial" w:hAnsi="Arial"/>
          <w:rtl w:val="0"/>
        </w:rPr>
        <w:t xml:space="preserve"> nos permite concentrar las asesorías por fecha, municipio, tipo y Visitaduría.</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Estos informes nos permiten dar a conocer de una forma más intuitiva y dinámica los resultados a la población beneficiaria a efecto de fortalecer la cultura de respeto a los Derechos Humanos en el Estado de México.</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El </w:t>
      </w:r>
      <w:r w:rsidDel="00000000" w:rsidR="00000000" w:rsidRPr="00000000">
        <w:rPr>
          <w:rFonts w:ascii="Arial" w:cs="Arial" w:eastAsia="Arial" w:hAnsi="Arial"/>
          <w:u w:val="single"/>
          <w:rtl w:val="0"/>
        </w:rPr>
        <w:t xml:space="preserve">Informe interactivo en tiempo real de solicitudes de amnistía y opiniones consultivas</w:t>
      </w:r>
      <w:r w:rsidDel="00000000" w:rsidR="00000000" w:rsidRPr="00000000">
        <w:rPr>
          <w:rFonts w:ascii="Arial" w:cs="Arial" w:eastAsia="Arial" w:hAnsi="Arial"/>
          <w:rtl w:val="0"/>
        </w:rPr>
        <w:t xml:space="preserve">, cuenta con información sistematizada del número de solicitudes de amnistía directa y opiniones consultivas que han ingresado, donde se puede consultar, cuantas se encuentran concluidas y cuantas en trámite, el género y el delito por el cual se solicita el beneficio, si fue presentada por un colectivo, familiar, imputado, o defensor; el Centro Penitenciario en donde se encuentra interno, si pertenece a un pueblo indígena, el medio por el cual se presentó la solicitud, la Visitaduría General que conoce del trámite, si es primo delincuente o reincidente y si está en proceso penal o tiene una sentencia ejecutoriada. </w:t>
      </w:r>
    </w:p>
    <w:p w:rsidR="00000000" w:rsidDel="00000000" w:rsidP="00000000" w:rsidRDefault="00000000" w:rsidRPr="00000000" w14:paraId="00000037">
      <w:pPr>
        <w:jc w:val="both"/>
        <w:rPr>
          <w:rFonts w:ascii="Arial" w:cs="Arial" w:eastAsia="Arial" w:hAnsi="Arial"/>
          <w:b w:val="1"/>
        </w:rPr>
      </w:pPr>
      <w:r w:rsidDel="00000000" w:rsidR="00000000" w:rsidRPr="00000000">
        <w:rPr>
          <w:rFonts w:ascii="Arial" w:cs="Arial" w:eastAsia="Arial" w:hAnsi="Arial"/>
          <w:b w:val="1"/>
          <w:rtl w:val="0"/>
        </w:rPr>
        <w:t xml:space="preserve">Señale de forma breve qué información fue publicada como parte de la práctica: </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Información sobre quejas presentadas, hechos violentados, autoridades presuntamente responsables, la escala de incidencia de las quejas, así como, las acciones en materia de capacitación, los sectores a los que se las ha brindado algún tipo de capacitación y las temáticas sobre las que se imparten los mismos. </w:t>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Asimismo, se publica información respecto de los trámites que ofrece este organismo (amnistía, canalización, gestión, información, mediación, orientación, queja, remisión, restitución dh y visitaduría intinerante), las asesorías proporcionadas por género, por el tipo de materia, (administrativa, penal, fiscal, familiar, penal penitenciaría, etc.), por año, por Visitaduría y por grupo social; De igual manera, se cuenta con información relacionada con las solicitudes de amnistía </w:t>
      </w:r>
    </w:p>
    <w:p w:rsidR="00000000" w:rsidDel="00000000" w:rsidP="00000000" w:rsidRDefault="00000000" w:rsidRPr="00000000" w14:paraId="0000003A">
      <w:pPr>
        <w:jc w:val="both"/>
        <w:rPr>
          <w:rFonts w:ascii="Arial" w:cs="Arial" w:eastAsia="Arial" w:hAnsi="Arial"/>
          <w:b w:val="1"/>
        </w:rPr>
      </w:pPr>
      <w:r w:rsidDel="00000000" w:rsidR="00000000" w:rsidRPr="00000000">
        <w:rPr>
          <w:rFonts w:ascii="Arial" w:cs="Arial" w:eastAsia="Arial" w:hAnsi="Arial"/>
          <w:b w:val="1"/>
          <w:rtl w:val="0"/>
        </w:rPr>
        <w:t xml:space="preserve">Describa brevemente el motivo por el que surgió la práctica:  </w:t>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Surge derivado de las jornadas de sensibilización realizadas por personal del Instituto de Transparencia, Acceso a la Información Pública y Protección de Datos Personales del Estado de México y Municipios, y con la finalidad de ofrecer a la ciudadanía información fidedigna, útil y relevante, que sirva para la toma de decisiones, tanto de autoridades como de ciudadanos.</w:t>
      </w:r>
    </w:p>
    <w:p w:rsidR="00000000" w:rsidDel="00000000" w:rsidP="00000000" w:rsidRDefault="00000000" w:rsidRPr="00000000" w14:paraId="0000003C">
      <w:pPr>
        <w:jc w:val="both"/>
        <w:rPr>
          <w:rFonts w:ascii="Arial" w:cs="Arial" w:eastAsia="Arial" w:hAnsi="Arial"/>
          <w:b w:val="1"/>
        </w:rPr>
      </w:pPr>
      <w:r w:rsidDel="00000000" w:rsidR="00000000" w:rsidRPr="00000000">
        <w:rPr>
          <w:rFonts w:ascii="Arial" w:cs="Arial" w:eastAsia="Arial" w:hAnsi="Arial"/>
          <w:b w:val="1"/>
          <w:rtl w:val="0"/>
        </w:rPr>
        <w:t xml:space="preserve">Enuncie de forma breve los beneficios generados a partir de la implementación de la práctica: </w:t>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La disminución en la presentación de solicitudes de acceso a la información;</w:t>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Perfeccionar la información generada para beneficio de la población; y</w:t>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Promover la participación ciudadana.</w:t>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1">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5">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6">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7">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8">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X </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D">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Se disminuyen las asimetrías de la información, ya que se publican dípticos y folletos los cuales contienen información relevante en materia de derechos humanos, como: ¿Cómo se presenta una queja?; ¿Qué es la Comisión de Derechos Humanos del Estado de México?; Protección y defensa de los derechos humanos; Derechos Humanos de las personas privadas libertad; Personas de derechos humanos y periodistas; Derechos Humanos de las Mujeres; Derechos humanos de los niños indígenas; Derechos humanos de las personas privadas de liberta; 10 Cuestiones básicas sobre derechos humanos; Derechos humanos de personas con VIH /SIDA, entre otras.</w:t>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Con la información contenida en esta práctica de transparencia, se optimiza la toma de decisiones, tanto de autoridades, como de la población en general, ya que además de la información contenida en los dípticos y folletos, se proporciona información en datos abiertos, sobre quejas presentadas (mujeres-hombres), derechos violentados, autoridades responsables, municipios con mayor número de quejas, así como las capacitaciones a los sectores a los que se les importe un curso, plática, taller o conferencia y los temas que se abordan durante estas acciones.</w:t>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Se fortalece la rendición de cuentas, toda vez que con la implementación de esta práctica se permite a los ciudadanos monitorear, evaluar y emitir sugerencias, lo que lo convierte en una actividad de control, seguimiento y vigilancia, ya que se informa sobre las acciones sustantivas realizadas por este Organismo.</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7">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5F">
      <w:pPr>
        <w:rPr>
          <w:rFonts w:ascii="Arial" w:cs="Arial" w:eastAsia="Arial" w:hAnsi="Arial"/>
        </w:rPr>
      </w:pPr>
      <w:r w:rsidDel="00000000" w:rsidR="00000000" w:rsidRPr="00000000">
        <w:rPr>
          <w:rtl w:val="0"/>
        </w:rPr>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0">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X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5">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A">
            <w:pPr>
              <w:ind w:left="-566" w:firstLine="0"/>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C">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F">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71">
            <w:pPr>
              <w:rPr>
                <w:rFonts w:ascii="Arial" w:cs="Arial" w:eastAsia="Arial" w:hAnsi="Arial"/>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6">
            <w:pPr>
              <w:rPr>
                <w:rFonts w:ascii="Arial" w:cs="Arial" w:eastAsia="Arial" w:hAnsi="Arial"/>
              </w:rPr>
            </w:pPr>
            <w:r w:rsidDel="00000000" w:rsidR="00000000" w:rsidRPr="00000000">
              <w:rPr>
                <w:rtl w:val="0"/>
              </w:rPr>
            </w:r>
          </w:p>
        </w:tc>
      </w:tr>
    </w:tbl>
    <w:p w:rsidR="00000000" w:rsidDel="00000000" w:rsidP="00000000" w:rsidRDefault="00000000" w:rsidRPr="00000000" w14:paraId="00000079">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A">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ind w:left="-347"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F">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De manera indirecta, a través de la encuesta de satisfacción que se encuentra dentro del micrositio, la cual ha permitido mejorar el contenido de la práctica implementada, a través de sus cometarios y/o sugerencias sea renovando la calidad de la información, así como la presentación de gráficos y esquemas para una consulta más ágil. Y de manera directa, mediante la retroalimentación con las Organizaciones de la Sociedad Civil y Defensores Municipales de Derechos Humanos.</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9">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Se adjunta material fotográfico  </w:t>
            </w:r>
            <w:r w:rsidDel="00000000" w:rsidR="00000000" w:rsidRPr="00000000">
              <w:rPr>
                <w:rFonts w:ascii="Arial" w:cs="Arial" w:eastAsia="Arial" w:hAnsi="Arial"/>
                <w:b w:val="1"/>
                <w:rtl w:val="0"/>
              </w:rPr>
              <w:t xml:space="preserve">(Evidencia 1)</w:t>
            </w: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3">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E">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ind w:left="-345"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both"/>
              <w:rPr>
                <w:rFonts w:ascii="Arial" w:cs="Arial" w:eastAsia="Arial" w:hAnsi="Arial"/>
              </w:rPr>
            </w:pPr>
            <w:r w:rsidDel="00000000" w:rsidR="00000000" w:rsidRPr="00000000">
              <w:rPr>
                <w:rFonts w:ascii="Arial" w:cs="Arial" w:eastAsia="Arial" w:hAnsi="Arial"/>
                <w:rtl w:val="0"/>
              </w:rPr>
              <w:t xml:space="preserve">Con la implementación de esta </w:t>
            </w:r>
            <w:r w:rsidDel="00000000" w:rsidR="00000000" w:rsidRPr="00000000">
              <w:rPr>
                <w:rFonts w:ascii="Arial" w:cs="Arial" w:eastAsia="Arial" w:hAnsi="Arial"/>
                <w:sz w:val="24"/>
                <w:szCs w:val="24"/>
                <w:rtl w:val="0"/>
              </w:rPr>
              <w:t xml:space="preserve">práctica</w:t>
            </w:r>
            <w:r w:rsidDel="00000000" w:rsidR="00000000" w:rsidRPr="00000000">
              <w:rPr>
                <w:rFonts w:ascii="Arial" w:cs="Arial" w:eastAsia="Arial" w:hAnsi="Arial"/>
                <w:rtl w:val="0"/>
              </w:rPr>
              <w:t xml:space="preserve"> se busca reducir el número de solicitudes de información pública, presentas en esta Defensoría de Habitantes, ya que la demanda de la información sobre temas como: número de quejas presentadas, autoridades presuntamente responsables, derechos violentados, los trámites que ofrece el Organismo, los municipios con mayor número de quejas, las asesorías proporcionadas, la forma en como se presenta una queja, qué hace la Codhem, las capacitaciones que se otorgan, los temas sobre los cuales se imparten las capacitaciones, entre otros, es muy constante por parte de la ciudadanía.</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4">
            <w:pPr>
              <w:rPr>
                <w:rFonts w:ascii="Arial" w:cs="Arial" w:eastAsia="Arial" w:hAnsi="Arial"/>
              </w:rPr>
            </w:pPr>
            <w:r w:rsidDel="00000000" w:rsidR="00000000" w:rsidRPr="00000000">
              <w:rPr>
                <w:rtl w:val="0"/>
              </w:rPr>
            </w:r>
          </w:p>
        </w:tc>
      </w:tr>
    </w:tbl>
    <w:p w:rsidR="00000000" w:rsidDel="00000000" w:rsidP="00000000" w:rsidRDefault="00000000" w:rsidRPr="00000000" w14:paraId="000000B7">
      <w:pPr>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 </w:t>
      </w:r>
    </w:p>
    <w:p w:rsidR="00000000" w:rsidDel="00000000" w:rsidP="00000000" w:rsidRDefault="00000000" w:rsidRPr="00000000" w14:paraId="000000B8">
      <w:pPr>
        <w:rPr>
          <w:rFonts w:ascii="Arial" w:cs="Arial" w:eastAsia="Arial" w:hAnsi="Arial"/>
        </w:rPr>
      </w:pPr>
      <w:bookmarkStart w:colFirst="0" w:colLast="0" w:name="_heading=h.wr4r6joiw2p9" w:id="2"/>
      <w:bookmarkEnd w:id="2"/>
      <w:r w:rsidDel="00000000" w:rsidR="00000000" w:rsidRPr="00000000">
        <w:rPr>
          <w:rtl w:val="0"/>
        </w:rPr>
      </w:r>
    </w:p>
    <w:p w:rsidR="00000000" w:rsidDel="00000000" w:rsidP="00000000" w:rsidRDefault="00000000" w:rsidRPr="00000000" w14:paraId="000000B9">
      <w:pPr>
        <w:rPr>
          <w:rFonts w:ascii="Arial" w:cs="Arial" w:eastAsia="Arial" w:hAnsi="Arial"/>
        </w:rPr>
      </w:pPr>
      <w:bookmarkStart w:colFirst="0" w:colLast="0" w:name="_heading=h.rfqounljmz0t" w:id="3"/>
      <w:bookmarkEnd w:id="3"/>
      <w:r w:rsidDel="00000000" w:rsidR="00000000" w:rsidRPr="00000000">
        <w:rPr>
          <w:rtl w:val="0"/>
        </w:rPr>
      </w:r>
    </w:p>
    <w:p w:rsidR="00000000" w:rsidDel="00000000" w:rsidP="00000000" w:rsidRDefault="00000000" w:rsidRPr="00000000" w14:paraId="000000BA">
      <w:pPr>
        <w:rPr>
          <w:rFonts w:ascii="Arial" w:cs="Arial" w:eastAsia="Arial" w:hAnsi="Arial"/>
        </w:rPr>
      </w:pPr>
      <w:bookmarkStart w:colFirst="0" w:colLast="0" w:name="_heading=h.y72pha81d11r" w:id="4"/>
      <w:bookmarkEnd w:id="4"/>
      <w:r w:rsidDel="00000000" w:rsidR="00000000" w:rsidRPr="00000000">
        <w:rPr>
          <w:rtl w:val="0"/>
        </w:rPr>
      </w:r>
    </w:p>
    <w:p w:rsidR="00000000" w:rsidDel="00000000" w:rsidP="00000000" w:rsidRDefault="00000000" w:rsidRPr="00000000" w14:paraId="000000BB">
      <w:pPr>
        <w:rPr>
          <w:rFonts w:ascii="Arial" w:cs="Arial" w:eastAsia="Arial" w:hAnsi="Arial"/>
        </w:rPr>
      </w:pPr>
      <w:bookmarkStart w:colFirst="0" w:colLast="0" w:name="_heading=h.hpx46e1de8mv" w:id="5"/>
      <w:bookmarkEnd w:id="5"/>
      <w:r w:rsidDel="00000000" w:rsidR="00000000" w:rsidRPr="00000000">
        <w:rPr>
          <w:rtl w:val="0"/>
        </w:rPr>
      </w:r>
    </w:p>
    <w:p w:rsidR="00000000" w:rsidDel="00000000" w:rsidP="00000000" w:rsidRDefault="00000000" w:rsidRPr="00000000" w14:paraId="000000BC">
      <w:pPr>
        <w:rPr>
          <w:rFonts w:ascii="Arial" w:cs="Arial" w:eastAsia="Arial" w:hAnsi="Arial"/>
        </w:rPr>
      </w:pPr>
      <w:bookmarkStart w:colFirst="0" w:colLast="0" w:name="_heading=h.v3ru5i910fcx" w:id="6"/>
      <w:bookmarkEnd w:id="6"/>
      <w:r w:rsidDel="00000000" w:rsidR="00000000" w:rsidRPr="00000000">
        <w:rPr>
          <w:rtl w:val="0"/>
        </w:rPr>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INEGI</w:t>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Sistema Integral de Quejas</w:t>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Sistema de Capacitación de la CODHEM </w:t>
            </w:r>
          </w:p>
          <w:p w:rsidR="00000000" w:rsidDel="00000000" w:rsidP="00000000" w:rsidRDefault="00000000" w:rsidRPr="00000000" w14:paraId="000000CC">
            <w:pPr>
              <w:rPr>
                <w:rFonts w:ascii="Arial" w:cs="Arial" w:eastAsia="Arial" w:hAnsi="Arial"/>
                <w:highlight w:val="yellow"/>
              </w:rPr>
            </w:pPr>
            <w:r w:rsidDel="00000000" w:rsidR="00000000" w:rsidRPr="00000000">
              <w:rPr>
                <w:rFonts w:ascii="Arial" w:cs="Arial" w:eastAsia="Arial" w:hAnsi="Arial"/>
                <w:rtl w:val="0"/>
              </w:rPr>
              <w:t xml:space="preserve">La fuente utilizada del INEGI se aprovechó para contar con el número total de habitantes en el Estado, así como, por cada municipio y con ello saber el número de población beneficiada con las acciones de capacitación llevadas a cabo por esta Casa de la Dignidad y las Libertades.</w:t>
            </w:r>
            <w:r w:rsidDel="00000000" w:rsidR="00000000" w:rsidRPr="00000000">
              <w:rPr>
                <w:rtl w:val="0"/>
              </w:rPr>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Se refiere que tanto el Sistema Integral de Quejas, como el Sistema de Capacitación pertenecen a este Organismo.</w:t>
            </w:r>
          </w:p>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https://cuentame.inegi.org.mx/monografias/informacion/mex/poblacion/</w:t>
            </w:r>
          </w:p>
        </w:tc>
      </w:tr>
    </w:tbl>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7">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8">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A">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rFonts w:ascii="Arial" w:cs="Arial" w:eastAsia="Arial" w:hAnsi="Arial"/>
                <w:highlight w:val="yellow"/>
              </w:rPr>
            </w:pPr>
            <w:r w:rsidDel="00000000" w:rsidR="00000000" w:rsidRPr="00000000">
              <w:rPr>
                <w:rFonts w:ascii="Arial" w:cs="Arial" w:eastAsia="Arial" w:hAnsi="Arial"/>
                <w:rtl w:val="0"/>
              </w:rPr>
              <w:t xml:space="preserve">No es afirmativo, toda vez que va dirigido a la población en general, sin embargo, la difusión de esta práctica de transparencia proactiva, se realiza mediante distribución de dípticos los cuales dan a conocer el este micrositio, mediante notas periodísticas y en diversas redes sociales. Asimismo, su difusión se ha realizado mediante presentaciones realizadas por la propia Presidenta de este Organismo.</w:t>
            </w: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0563c1"/>
                  <w:u w:val="single"/>
                  <w:rtl w:val="0"/>
                </w:rPr>
                <w:t xml:space="preserve">https://www.milenio.com/estados/micrositio-transparencia-proactiva-de-codhem</w:t>
              </w:r>
            </w:hyperlink>
            <w:r w:rsidDel="00000000" w:rsidR="00000000" w:rsidRPr="00000000">
              <w:rPr>
                <w:rtl w:val="0"/>
              </w:rPr>
            </w:r>
          </w:p>
          <w:p w:rsidR="00000000" w:rsidDel="00000000" w:rsidP="00000000" w:rsidRDefault="00000000" w:rsidRPr="00000000" w14:paraId="000000EC">
            <w:pPr>
              <w:rPr>
                <w:rFonts w:ascii="Arial" w:cs="Arial" w:eastAsia="Arial" w:hAnsi="Arial"/>
              </w:rPr>
            </w:pPr>
            <w:hyperlink r:id="rId9">
              <w:r w:rsidDel="00000000" w:rsidR="00000000" w:rsidRPr="00000000">
                <w:rPr>
                  <w:rFonts w:ascii="Arial" w:cs="Arial" w:eastAsia="Arial" w:hAnsi="Arial"/>
                  <w:color w:val="0563c1"/>
                  <w:u w:val="single"/>
                  <w:rtl w:val="0"/>
                </w:rPr>
                <w:t xml:space="preserve">https://asisucede.com.mx/presenta-codhem-micrositio-de-transparencia-proactiva/</w:t>
              </w:r>
            </w:hyperlink>
            <w:r w:rsidDel="00000000" w:rsidR="00000000" w:rsidRPr="00000000">
              <w:rPr>
                <w:rtl w:val="0"/>
              </w:rPr>
            </w:r>
          </w:p>
          <w:p w:rsidR="00000000" w:rsidDel="00000000" w:rsidP="00000000" w:rsidRDefault="00000000" w:rsidRPr="00000000" w14:paraId="000000ED">
            <w:pPr>
              <w:rPr>
                <w:rFonts w:ascii="Arial" w:cs="Arial" w:eastAsia="Arial" w:hAnsi="Arial"/>
              </w:rPr>
            </w:pPr>
            <w:hyperlink r:id="rId10">
              <w:r w:rsidDel="00000000" w:rsidR="00000000" w:rsidRPr="00000000">
                <w:rPr>
                  <w:rFonts w:ascii="Arial" w:cs="Arial" w:eastAsia="Arial" w:hAnsi="Arial"/>
                  <w:color w:val="0563c1"/>
                  <w:u w:val="single"/>
                  <w:rtl w:val="0"/>
                </w:rPr>
                <w:t xml:space="preserve">https://diario-puntual.com.mx/presenta-codhem-micrositio-de-transparencia-proactiva/</w:t>
              </w:r>
            </w:hyperlink>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De igual manera se remiten de manera adjunta el material fotográfico en el que se difunde la práctica de transparencia proactiva. </w:t>
            </w:r>
            <w:r w:rsidDel="00000000" w:rsidR="00000000" w:rsidRPr="00000000">
              <w:rPr>
                <w:rFonts w:ascii="Arial" w:cs="Arial" w:eastAsia="Arial" w:hAnsi="Arial"/>
                <w:b w:val="1"/>
                <w:rtl w:val="0"/>
              </w:rPr>
              <w:t xml:space="preserve">(Evidencia 2)</w:t>
            </w:r>
            <w:r w:rsidDel="00000000" w:rsidR="00000000" w:rsidRPr="00000000">
              <w:rPr>
                <w:rtl w:val="0"/>
              </w:rPr>
            </w:r>
          </w:p>
        </w:tc>
      </w:tr>
    </w:tbl>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 </w:t>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4">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0">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05">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A">
            <w:pPr>
              <w:rPr>
                <w:rFonts w:ascii="Arial" w:cs="Arial" w:eastAsia="Arial" w:hAnsi="Arial"/>
              </w:rPr>
            </w:pPr>
            <w:r w:rsidDel="00000000" w:rsidR="00000000" w:rsidRPr="00000000">
              <w:rPr>
                <w:rtl w:val="0"/>
              </w:rPr>
            </w:r>
          </w:p>
        </w:tc>
      </w:tr>
    </w:tbl>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E">
            <w:pPr>
              <w:ind w:left="-566" w:firstLine="0"/>
              <w:jc w:val="both"/>
              <w:rPr>
                <w:rFonts w:ascii="Arial" w:cs="Arial" w:eastAsia="Arial" w:hAnsi="Arial"/>
              </w:rPr>
            </w:pPr>
            <w:r w:rsidDel="00000000" w:rsidR="00000000" w:rsidRPr="00000000">
              <w:rPr>
                <w:rFonts w:ascii="Arial" w:cs="Arial" w:eastAsia="Arial" w:hAnsi="Arial"/>
                <w:rtl w:val="0"/>
              </w:rPr>
              <w:t xml:space="preserve"> ¿La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ind w:hanging="495"/>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jc w:val="both"/>
              <w:rPr>
                <w:rFonts w:ascii="Arial" w:cs="Arial" w:eastAsia="Arial" w:hAnsi="Arial"/>
              </w:rPr>
            </w:pPr>
            <w:r w:rsidDel="00000000" w:rsidR="00000000" w:rsidRPr="00000000">
              <w:rPr>
                <w:rFonts w:ascii="Arial" w:cs="Arial" w:eastAsia="Arial" w:hAnsi="Arial"/>
                <w:rtl w:val="0"/>
              </w:rPr>
              <w:t xml:space="preserve">Es importante describir que dentro de la plataforma se implementó, una encuesta de satisfacción, mediante la cual nos permite conocer sobre el servicio que brinda el Micrositio de Transparencia Proactiva de esta Casa de la Dignidad y las Libertades, pues estamos interesados en conocer la opinión de la ciudadanía y saber que la información que se les proporciona será utilizada para la mejora continua del micrositio, esto con el propósito de que consulten información deseada y de utilidad para la ciudadanía </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 https://forms.office.com/pages/responsepage.aspx?id=_xYjsTX3ekucf4l6OxS9iGEW2adc6DJLpxr98E1Vvh5UMzZZSzEyMzFaWkJJSks0MDE0QlUxMVZPNy4u</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31">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2">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ind w:hanging="495"/>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7">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jc w:val="both"/>
              <w:rPr>
                <w:rFonts w:ascii="Arial" w:cs="Arial" w:eastAsia="Arial" w:hAnsi="Arial"/>
              </w:rPr>
            </w:pPr>
            <w:r w:rsidDel="00000000" w:rsidR="00000000" w:rsidRPr="00000000">
              <w:rPr>
                <w:rFonts w:ascii="Arial" w:cs="Arial" w:eastAsia="Arial" w:hAnsi="Arial"/>
                <w:rtl w:val="0"/>
              </w:rPr>
              <w:t xml:space="preserve">Anteriormente el contador de visitas nos permita saber la cantidad de usuarios que ingresaban a la página para consultar alguna información de su interés, sin embargo, se perfeccionó dicho automatizador, por lo que ahora, nos permite saber el número de visitas, el número total de usuarios activos, el tiempo de interacción, incluso saber la edad de la audiencia, y conocer la ciudad desde la cual se hace la búsqueda.</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1">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both"/>
              <w:rPr>
                <w:rFonts w:ascii="Arial" w:cs="Arial" w:eastAsia="Arial" w:hAnsi="Arial"/>
              </w:rPr>
            </w:pPr>
            <w:bookmarkStart w:colFirst="0" w:colLast="0" w:name="_heading=h.3znysh7" w:id="7"/>
            <w:bookmarkEnd w:id="7"/>
            <w:r w:rsidDel="00000000" w:rsidR="00000000" w:rsidRPr="00000000">
              <w:rPr>
                <w:rFonts w:ascii="Arial" w:cs="Arial" w:eastAsia="Arial" w:hAnsi="Arial"/>
                <w:rtl w:val="0"/>
              </w:rPr>
              <w:t xml:space="preserve"> Se adjunta el Informe panorámico de los usuarios que ingresan a la página </w:t>
            </w:r>
            <w:r w:rsidDel="00000000" w:rsidR="00000000" w:rsidRPr="00000000">
              <w:rPr>
                <w:rFonts w:ascii="Arial" w:cs="Arial" w:eastAsia="Arial" w:hAnsi="Arial"/>
                <w:b w:val="1"/>
                <w:rtl w:val="0"/>
              </w:rPr>
              <w:t xml:space="preserve">(Evidencia 3)</w:t>
            </w: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55">
      <w:pPr>
        <w:rPr>
          <w:rFonts w:ascii="Arial" w:cs="Arial" w:eastAsia="Arial" w:hAnsi="Arial"/>
        </w:rPr>
      </w:pPr>
      <w:bookmarkStart w:colFirst="0" w:colLast="0" w:name="_heading=h.30j0zll" w:id="8"/>
      <w:bookmarkEnd w:id="8"/>
      <w:r w:rsidDel="00000000" w:rsidR="00000000" w:rsidRPr="00000000">
        <w:rPr>
          <w:rtl w:val="0"/>
        </w:rPr>
      </w:r>
    </w:p>
    <w:tbl>
      <w:tblPr>
        <w:tblStyle w:val="Table11"/>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line="240" w:lineRule="auto"/>
              <w:ind w:left="-259" w:firstLine="0"/>
              <w:rPr>
                <w:rFonts w:ascii="Arial" w:cs="Arial" w:eastAsia="Arial" w:hAnsi="Arial"/>
              </w:rPr>
            </w:pPr>
            <w:r w:rsidDel="00000000" w:rsidR="00000000" w:rsidRPr="00000000">
              <w:rPr>
                <w:rFonts w:ascii="Arial" w:cs="Arial" w:eastAsia="Arial" w:hAnsi="Arial"/>
                <w:rtl w:val="0"/>
              </w:rPr>
              <w:t xml:space="preserve">1.- Enlace de la encuesta de satisfacción</w:t>
            </w:r>
          </w:p>
          <w:p w:rsidR="00000000" w:rsidDel="00000000" w:rsidP="00000000" w:rsidRDefault="00000000" w:rsidRPr="00000000" w14:paraId="00000158">
            <w:pPr>
              <w:spacing w:line="240" w:lineRule="auto"/>
              <w:ind w:left="-259" w:firstLine="0"/>
              <w:rPr>
                <w:rFonts w:ascii="Arial" w:cs="Arial" w:eastAsia="Arial" w:hAnsi="Arial"/>
              </w:rPr>
            </w:pPr>
            <w:hyperlink r:id="rId11">
              <w:r w:rsidDel="00000000" w:rsidR="00000000" w:rsidRPr="00000000">
                <w:rPr>
                  <w:rFonts w:ascii="Arial" w:cs="Arial" w:eastAsia="Arial" w:hAnsi="Arial"/>
                  <w:color w:val="0563c1"/>
                  <w:u w:val="single"/>
                  <w:rtl w:val="0"/>
                </w:rPr>
                <w:t xml:space="preserve">https://forms.office.com/pages/responsepage.aspx?id=_xYjsTX3ekucf4l6OxS9iGEW2adc6DJLpxr98E1Vvh5UMzZZSzEyMzFaWkJJSks0MDE0QlUxMVZPNy4u</w:t>
              </w:r>
            </w:hyperlink>
            <w:r w:rsidDel="00000000" w:rsidR="00000000" w:rsidRPr="00000000">
              <w:rPr>
                <w:rtl w:val="0"/>
              </w:rPr>
            </w:r>
          </w:p>
          <w:p w:rsidR="00000000" w:rsidDel="00000000" w:rsidP="00000000" w:rsidRDefault="00000000" w:rsidRPr="00000000" w14:paraId="00000159">
            <w:pPr>
              <w:spacing w:line="240" w:lineRule="auto"/>
              <w:ind w:left="-259" w:firstLine="0"/>
              <w:rPr>
                <w:rFonts w:ascii="Arial" w:cs="Arial" w:eastAsia="Arial" w:hAnsi="Arial"/>
              </w:rPr>
            </w:pPr>
            <w:r w:rsidDel="00000000" w:rsidR="00000000" w:rsidRPr="00000000">
              <w:rPr>
                <w:rFonts w:ascii="Arial" w:cs="Arial" w:eastAsia="Arial" w:hAnsi="Arial"/>
                <w:rtl w:val="0"/>
              </w:rPr>
              <w:t xml:space="preserve">2.- Reporte sobre vistas, usuarios y el tiempo de interacción medio por usuario.</w:t>
            </w:r>
          </w:p>
          <w:p w:rsidR="00000000" w:rsidDel="00000000" w:rsidP="00000000" w:rsidRDefault="00000000" w:rsidRPr="00000000" w14:paraId="0000015A">
            <w:pPr>
              <w:spacing w:line="240" w:lineRule="auto"/>
              <w:ind w:left="-259" w:firstLine="0"/>
              <w:rPr>
                <w:rFonts w:ascii="Arial" w:cs="Arial" w:eastAsia="Arial" w:hAnsi="Arial"/>
              </w:rPr>
            </w:pPr>
            <w:r w:rsidDel="00000000" w:rsidR="00000000" w:rsidRPr="00000000">
              <w:rPr>
                <w:rFonts w:ascii="Arial" w:cs="Arial" w:eastAsia="Arial" w:hAnsi="Arial"/>
                <w:rtl w:val="0"/>
              </w:rPr>
              <w:t xml:space="preserve">3.- Enlace de la encuesta de satisfacción</w:t>
            </w:r>
          </w:p>
          <w:p w:rsidR="00000000" w:rsidDel="00000000" w:rsidP="00000000" w:rsidRDefault="00000000" w:rsidRPr="00000000" w14:paraId="0000015B">
            <w:pPr>
              <w:spacing w:line="240" w:lineRule="auto"/>
              <w:ind w:left="-259" w:firstLine="0"/>
              <w:rPr>
                <w:rFonts w:ascii="Arial" w:cs="Arial" w:eastAsia="Arial" w:hAnsi="Arial"/>
              </w:rPr>
            </w:pPr>
            <w:hyperlink r:id="rId12">
              <w:r w:rsidDel="00000000" w:rsidR="00000000" w:rsidRPr="00000000">
                <w:rPr>
                  <w:rFonts w:ascii="Arial" w:cs="Arial" w:eastAsia="Arial" w:hAnsi="Arial"/>
                  <w:color w:val="0563c1"/>
                  <w:u w:val="single"/>
                  <w:rtl w:val="0"/>
                </w:rPr>
                <w:t xml:space="preserve">https://forms.office.com/pages/responsepage.aspx?id=_xYjsTX3ekucf4l6OxS9iGEW2adc6DJLpxr98E1Vvh5UMzZZSzEyMzFaWkJJSks0MDE0QlUxMVZPNy4u</w:t>
              </w:r>
            </w:hyperlink>
            <w:r w:rsidDel="00000000" w:rsidR="00000000" w:rsidRPr="00000000">
              <w:rPr>
                <w:rtl w:val="0"/>
              </w:rPr>
            </w:r>
          </w:p>
          <w:p w:rsidR="00000000" w:rsidDel="00000000" w:rsidP="00000000" w:rsidRDefault="00000000" w:rsidRPr="00000000" w14:paraId="0000015C">
            <w:pPr>
              <w:spacing w:line="240" w:lineRule="auto"/>
              <w:ind w:left="-259" w:firstLine="0"/>
              <w:rPr>
                <w:rFonts w:ascii="Arial" w:cs="Arial" w:eastAsia="Arial" w:hAnsi="Arial"/>
              </w:rPr>
            </w:pPr>
            <w:r w:rsidDel="00000000" w:rsidR="00000000" w:rsidRPr="00000000">
              <w:rPr>
                <w:rFonts w:ascii="Arial" w:cs="Arial" w:eastAsia="Arial" w:hAnsi="Arial"/>
                <w:rtl w:val="0"/>
              </w:rPr>
              <w:t xml:space="preserve">4.- Enlace del formato xlsx</w:t>
            </w:r>
          </w:p>
          <w:p w:rsidR="00000000" w:rsidDel="00000000" w:rsidP="00000000" w:rsidRDefault="00000000" w:rsidRPr="00000000" w14:paraId="0000015D">
            <w:pPr>
              <w:spacing w:line="240" w:lineRule="auto"/>
              <w:ind w:left="-259" w:firstLine="0"/>
              <w:rPr>
                <w:rFonts w:ascii="Arial" w:cs="Arial" w:eastAsia="Arial" w:hAnsi="Arial"/>
              </w:rPr>
            </w:pPr>
            <w:hyperlink r:id="rId13">
              <w:r w:rsidDel="00000000" w:rsidR="00000000" w:rsidRPr="00000000">
                <w:rPr>
                  <w:rFonts w:ascii="Arial" w:cs="Arial" w:eastAsia="Arial" w:hAnsi="Arial"/>
                  <w:color w:val="0563c1"/>
                  <w:u w:val="single"/>
                  <w:rtl w:val="0"/>
                </w:rPr>
                <w:t xml:space="preserve">https://www.codhem.org.mx/wp-content/uploads/2023/05/data-1.xlsx</w:t>
              </w:r>
            </w:hyperlink>
            <w:r w:rsidDel="00000000" w:rsidR="00000000" w:rsidRPr="00000000">
              <w:rPr>
                <w:rtl w:val="0"/>
              </w:rPr>
            </w:r>
          </w:p>
          <w:p w:rsidR="00000000" w:rsidDel="00000000" w:rsidP="00000000" w:rsidRDefault="00000000" w:rsidRPr="00000000" w14:paraId="0000015E">
            <w:pPr>
              <w:spacing w:line="240" w:lineRule="auto"/>
              <w:ind w:left="-259" w:firstLine="0"/>
              <w:rPr>
                <w:rFonts w:ascii="Arial" w:cs="Arial" w:eastAsia="Arial" w:hAnsi="Arial"/>
              </w:rPr>
            </w:pPr>
            <w:r w:rsidDel="00000000" w:rsidR="00000000" w:rsidRPr="00000000">
              <w:rPr>
                <w:rFonts w:ascii="Arial" w:cs="Arial" w:eastAsia="Arial" w:hAnsi="Arial"/>
                <w:rtl w:val="0"/>
              </w:rPr>
              <w:t xml:space="preserve">4.- Enlace del formato csv</w:t>
            </w:r>
          </w:p>
          <w:p w:rsidR="00000000" w:rsidDel="00000000" w:rsidP="00000000" w:rsidRDefault="00000000" w:rsidRPr="00000000" w14:paraId="0000015F">
            <w:pPr>
              <w:rPr>
                <w:rFonts w:ascii="Arial" w:cs="Arial" w:eastAsia="Arial" w:hAnsi="Arial"/>
                <w:highlight w:val="yellow"/>
              </w:rPr>
            </w:pPr>
            <w:hyperlink r:id="rId14">
              <w:r w:rsidDel="00000000" w:rsidR="00000000" w:rsidRPr="00000000">
                <w:rPr>
                  <w:rFonts w:ascii="Arial" w:cs="Arial" w:eastAsia="Arial" w:hAnsi="Arial"/>
                  <w:color w:val="0563c1"/>
                  <w:u w:val="single"/>
                  <w:rtl w:val="0"/>
                </w:rPr>
                <w:t xml:space="preserve">https://www.codhem.org.mx/wp-content/uploads/2023/05/data.csv</w:t>
              </w:r>
            </w:hyperlink>
            <w:r w:rsidDel="00000000" w:rsidR="00000000" w:rsidRPr="00000000">
              <w:rPr>
                <w:rtl w:val="0"/>
              </w:rPr>
            </w:r>
          </w:p>
        </w:tc>
      </w:tr>
    </w:tbl>
    <w:p w:rsidR="00000000" w:rsidDel="00000000" w:rsidP="00000000" w:rsidRDefault="00000000" w:rsidRPr="00000000" w14:paraId="00000160">
      <w:pPr>
        <w:rPr>
          <w:rFonts w:ascii="Arial" w:cs="Arial" w:eastAsia="Arial" w:hAnsi="Arial"/>
        </w:rPr>
      </w:pPr>
      <w:r w:rsidDel="00000000" w:rsidR="00000000" w:rsidRPr="00000000">
        <w:rPr>
          <w:rtl w:val="0"/>
        </w:rPr>
      </w:r>
    </w:p>
    <w:sectPr>
      <w:headerReference r:id="rId15" w:type="default"/>
      <w:footerReference r:id="rId16"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tabs>
        <w:tab w:val="left" w:leader="none" w:pos="3120"/>
      </w:tabs>
      <w:ind w:left="-425" w:hanging="720"/>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-1066796</wp:posOffset>
          </wp:positionH>
          <wp:positionV relativeFrom="paragraph">
            <wp:posOffset>-447669</wp:posOffset>
          </wp:positionV>
          <wp:extent cx="7762875" cy="10070783"/>
          <wp:effectExtent b="0" l="0" r="0" t="0"/>
          <wp:wrapNone/>
          <wp:docPr descr="Imagen que contiene Gráfico de superficie&#10;&#10;Descripción generada automáticamente" id="4"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12" w:customStyle="1">
    <w:name w:val="Table Normal12"/>
    <w:tblPr>
      <w:tblCellMar>
        <w:top w:w="0.0" w:type="dxa"/>
        <w:left w:w="0.0" w:type="dxa"/>
        <w:bottom w:w="0.0" w:type="dxa"/>
        <w:right w:w="0.0" w:type="dxa"/>
      </w:tblCellMar>
    </w:tblPr>
  </w:style>
  <w:style w:type="table" w:styleId="TableNormal11" w:customStyle="1">
    <w:name w:val="Table Normal11"/>
    <w:tblPr>
      <w:tblCellMar>
        <w:top w:w="0.0" w:type="dxa"/>
        <w:left w:w="0.0" w:type="dxa"/>
        <w:bottom w:w="0.0" w:type="dxa"/>
        <w:right w:w="0.0" w:type="dxa"/>
      </w:tblCellMar>
    </w:tblPr>
  </w:style>
  <w:style w:type="table" w:styleId="TableNormal10" w:customStyle="1">
    <w:name w:val="Table Normal10"/>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170" w:customStyle="1">
    <w:name w:val="170"/>
    <w:basedOn w:val="TableNormal1"/>
    <w:tblPr>
      <w:tblStyleRowBandSize w:val="1"/>
      <w:tblStyleColBandSize w:val="1"/>
      <w:tblCellMar>
        <w:top w:w="41.0" w:type="dxa"/>
        <w:left w:w="106.0" w:type="dxa"/>
        <w:right w:w="67.0" w:type="dxa"/>
      </w:tblCellMar>
    </w:tblPr>
  </w:style>
  <w:style w:type="table" w:styleId="169" w:customStyle="1">
    <w:name w:val="169"/>
    <w:basedOn w:val="TableNormal1"/>
    <w:tblPr>
      <w:tblStyleRowBandSize w:val="1"/>
      <w:tblStyleColBandSize w:val="1"/>
      <w:tblCellMar>
        <w:top w:w="41.0" w:type="dxa"/>
        <w:left w:w="107.0" w:type="dxa"/>
        <w:right w:w="73.0" w:type="dxa"/>
      </w:tblCellMar>
    </w:tblPr>
  </w:style>
  <w:style w:type="table" w:styleId="168" w:customStyle="1">
    <w:name w:val="168"/>
    <w:basedOn w:val="TableNormal1"/>
    <w:tblPr>
      <w:tblStyleRowBandSize w:val="1"/>
      <w:tblStyleColBandSize w:val="1"/>
      <w:tblCellMar>
        <w:top w:w="41.0" w:type="dxa"/>
        <w:right w:w="60.0" w:type="dxa"/>
      </w:tblCellMar>
    </w:tblPr>
  </w:style>
  <w:style w:type="table" w:styleId="167" w:customStyle="1">
    <w:name w:val="167"/>
    <w:basedOn w:val="TableNormal1"/>
    <w:tblPr>
      <w:tblStyleRowBandSize w:val="1"/>
      <w:tblStyleColBandSize w:val="1"/>
      <w:tblCellMar>
        <w:top w:w="41.0" w:type="dxa"/>
        <w:right w:w="62.0" w:type="dxa"/>
      </w:tblCellMar>
    </w:tblPr>
  </w:style>
  <w:style w:type="table" w:styleId="166" w:customStyle="1">
    <w:name w:val="166"/>
    <w:basedOn w:val="TableNormal1"/>
    <w:tblPr>
      <w:tblStyleRowBandSize w:val="1"/>
      <w:tblStyleColBandSize w:val="1"/>
      <w:tblCellMar>
        <w:top w:w="41.0" w:type="dxa"/>
        <w:left w:w="107.0" w:type="dxa"/>
        <w:right w:w="70.0" w:type="dxa"/>
      </w:tblCellMar>
    </w:tblPr>
  </w:style>
  <w:style w:type="table" w:styleId="165" w:customStyle="1">
    <w:name w:val="165"/>
    <w:basedOn w:val="TableNormal1"/>
    <w:tblPr>
      <w:tblStyleRowBandSize w:val="1"/>
      <w:tblStyleColBandSize w:val="1"/>
      <w:tblCellMar>
        <w:top w:w="40.0" w:type="dxa"/>
        <w:right w:w="26.0" w:type="dxa"/>
      </w:tblCellMar>
    </w:tblPr>
  </w:style>
  <w:style w:type="table" w:styleId="164" w:customStyle="1">
    <w:name w:val="164"/>
    <w:basedOn w:val="TableNormal1"/>
    <w:tblPr>
      <w:tblStyleRowBandSize w:val="1"/>
      <w:tblStyleColBandSize w:val="1"/>
      <w:tblCellMar>
        <w:top w:w="41.0" w:type="dxa"/>
        <w:left w:w="107.0" w:type="dxa"/>
        <w:right w:w="71.0" w:type="dxa"/>
      </w:tblCellMar>
    </w:tblPr>
  </w:style>
  <w:style w:type="table" w:styleId="163" w:customStyle="1">
    <w:name w:val="163"/>
    <w:basedOn w:val="TableNormal1"/>
    <w:tblPr>
      <w:tblStyleRowBandSize w:val="1"/>
      <w:tblStyleColBandSize w:val="1"/>
      <w:tblCellMar>
        <w:top w:w="40.0" w:type="dxa"/>
        <w:right w:w="12.0" w:type="dxa"/>
      </w:tblCellMar>
    </w:tblPr>
  </w:style>
  <w:style w:type="table" w:styleId="162" w:customStyle="1">
    <w:name w:val="162"/>
    <w:basedOn w:val="TableNormal1"/>
    <w:tblPr>
      <w:tblStyleRowBandSize w:val="1"/>
      <w:tblStyleColBandSize w:val="1"/>
      <w:tblCellMar>
        <w:top w:w="41.0" w:type="dxa"/>
        <w:left w:w="107.0" w:type="dxa"/>
        <w:right w:w="69.0" w:type="dxa"/>
      </w:tblCellMar>
    </w:tblPr>
  </w:style>
  <w:style w:type="table" w:styleId="161" w:customStyle="1">
    <w:name w:val="161"/>
    <w:basedOn w:val="TableNormal1"/>
    <w:tblPr>
      <w:tblStyleRowBandSize w:val="1"/>
      <w:tblStyleColBandSize w:val="1"/>
      <w:tblCellMar>
        <w:top w:w="41.0" w:type="dxa"/>
        <w:left w:w="107.0" w:type="dxa"/>
        <w:right w:w="70.0" w:type="dxa"/>
      </w:tblCellMar>
    </w:tblPr>
  </w:style>
  <w:style w:type="table" w:styleId="160" w:customStyle="1">
    <w:name w:val="160"/>
    <w:basedOn w:val="TableNormal1"/>
    <w:tblPr>
      <w:tblStyleRowBandSize w:val="1"/>
      <w:tblStyleColBandSize w:val="1"/>
      <w:tblCellMar>
        <w:top w:w="41.0" w:type="dxa"/>
        <w:left w:w="107.0" w:type="dxa"/>
        <w:right w:w="67.0" w:type="dxa"/>
      </w:tblCellMar>
    </w:tblPr>
  </w:style>
  <w:style w:type="table" w:styleId="159" w:customStyle="1">
    <w:name w:val="159"/>
    <w:basedOn w:val="TableNormal1"/>
    <w:tblPr>
      <w:tblStyleRowBandSize w:val="1"/>
      <w:tblStyleColBandSize w:val="1"/>
      <w:tblCellMar>
        <w:top w:w="41.0" w:type="dxa"/>
        <w:left w:w="107.0" w:type="dxa"/>
        <w:right w:w="70.0" w:type="dxa"/>
      </w:tblCellMar>
    </w:tblPr>
  </w:style>
  <w:style w:type="table" w:styleId="158" w:customStyle="1">
    <w:name w:val="158"/>
    <w:basedOn w:val="TableNormal1"/>
    <w:tblPr>
      <w:tblStyleRowBandSize w:val="1"/>
      <w:tblStyleColBandSize w:val="1"/>
      <w:tblCellMar>
        <w:top w:w="41.0" w:type="dxa"/>
        <w:left w:w="107.0" w:type="dxa"/>
        <w:right w:w="71.0" w:type="dxa"/>
      </w:tblCellMar>
    </w:tblPr>
  </w:style>
  <w:style w:type="table" w:styleId="157" w:customStyle="1">
    <w:name w:val="157"/>
    <w:basedOn w:val="TableNormal1"/>
    <w:tblPr>
      <w:tblStyleRowBandSize w:val="1"/>
      <w:tblStyleColBandSize w:val="1"/>
      <w:tblCellMar>
        <w:top w:w="41.0" w:type="dxa"/>
        <w:left w:w="827.0" w:type="dxa"/>
        <w:right w:w="115.0" w:type="dxa"/>
      </w:tblCellMar>
    </w:tblPr>
  </w:style>
  <w:style w:type="table" w:styleId="156" w:customStyle="1">
    <w:name w:val="156"/>
    <w:basedOn w:val="TableNormal1"/>
    <w:tblPr>
      <w:tblStyleRowBandSize w:val="1"/>
      <w:tblStyleColBandSize w:val="1"/>
      <w:tblCellMar>
        <w:top w:w="41.0" w:type="dxa"/>
        <w:left w:w="827.0" w:type="dxa"/>
        <w:right w:w="115.0" w:type="dxa"/>
      </w:tblCellMar>
    </w:tblPr>
  </w:style>
  <w:style w:type="table" w:styleId="155" w:customStyle="1">
    <w:name w:val="155"/>
    <w:basedOn w:val="TableNormal1"/>
    <w:tblPr>
      <w:tblStyleRowBandSize w:val="1"/>
      <w:tblStyleColBandSize w:val="1"/>
      <w:tblCellMar>
        <w:top w:w="41.0" w:type="dxa"/>
        <w:left w:w="827.0" w:type="dxa"/>
        <w:right w:w="115.0" w:type="dxa"/>
      </w:tblCellMar>
    </w:tblPr>
  </w:style>
  <w:style w:type="table" w:styleId="154" w:customStyle="1">
    <w:name w:val="154"/>
    <w:basedOn w:val="TableNormal1"/>
    <w:tblPr>
      <w:tblStyleRowBandSize w:val="1"/>
      <w:tblStyleColBandSize w:val="1"/>
      <w:tblCellMar>
        <w:top w:w="41.0" w:type="dxa"/>
        <w:left w:w="827.0" w:type="dxa"/>
        <w:right w:w="115.0" w:type="dxa"/>
      </w:tblCellMar>
    </w:tblPr>
  </w:style>
  <w:style w:type="table" w:styleId="153" w:customStyle="1">
    <w:name w:val="153"/>
    <w:basedOn w:val="TableNormal1"/>
    <w:tblPr>
      <w:tblStyleRowBandSize w:val="1"/>
      <w:tblStyleColBandSize w:val="1"/>
      <w:tblCellMar>
        <w:top w:w="41.0" w:type="dxa"/>
        <w:left w:w="827.0" w:type="dxa"/>
        <w:right w:w="115.0" w:type="dxa"/>
      </w:tblCellMar>
    </w:tblPr>
  </w:style>
  <w:style w:type="table" w:styleId="152" w:customStyle="1">
    <w:name w:val="152"/>
    <w:basedOn w:val="TableNormal1"/>
    <w:tblPr>
      <w:tblStyleRowBandSize w:val="1"/>
      <w:tblStyleColBandSize w:val="1"/>
      <w:tblCellMar>
        <w:top w:w="41.0" w:type="dxa"/>
        <w:left w:w="827.0" w:type="dxa"/>
        <w:right w:w="115.0" w:type="dxa"/>
      </w:tblCellMar>
    </w:tblPr>
  </w:style>
  <w:style w:type="table" w:styleId="151" w:customStyle="1">
    <w:name w:val="151"/>
    <w:basedOn w:val="TableNormal1"/>
    <w:tblPr>
      <w:tblStyleRowBandSize w:val="1"/>
      <w:tblStyleColBandSize w:val="1"/>
      <w:tblCellMar>
        <w:top w:w="41.0" w:type="dxa"/>
        <w:left w:w="827.0" w:type="dxa"/>
        <w:right w:w="115.0" w:type="dxa"/>
      </w:tblCellMar>
    </w:tblPr>
  </w:style>
  <w:style w:type="table" w:styleId="150" w:customStyle="1">
    <w:name w:val="150"/>
    <w:basedOn w:val="TableNormal1"/>
    <w:tblPr>
      <w:tblStyleRowBandSize w:val="1"/>
      <w:tblStyleColBandSize w:val="1"/>
      <w:tblCellMar>
        <w:top w:w="41.0" w:type="dxa"/>
        <w:left w:w="827.0" w:type="dxa"/>
        <w:right w:w="115.0" w:type="dxa"/>
      </w:tblCellMar>
    </w:tblPr>
  </w:style>
  <w:style w:type="table" w:styleId="149" w:customStyle="1">
    <w:name w:val="149"/>
    <w:basedOn w:val="TableNormal1"/>
    <w:tblPr>
      <w:tblStyleRowBandSize w:val="1"/>
      <w:tblStyleColBandSize w:val="1"/>
      <w:tblCellMar>
        <w:top w:w="41.0" w:type="dxa"/>
        <w:left w:w="827.0" w:type="dxa"/>
        <w:right w:w="115.0" w:type="dxa"/>
      </w:tblCellMar>
    </w:tblPr>
  </w:style>
  <w:style w:type="table" w:styleId="148" w:customStyle="1">
    <w:name w:val="148"/>
    <w:basedOn w:val="TableNormal1"/>
    <w:tblPr>
      <w:tblStyleRowBandSize w:val="1"/>
      <w:tblStyleColBandSize w:val="1"/>
      <w:tblCellMar>
        <w:top w:w="41.0" w:type="dxa"/>
        <w:left w:w="827.0" w:type="dxa"/>
        <w:right w:w="115.0" w:type="dxa"/>
      </w:tblCellMar>
    </w:tblPr>
  </w:style>
  <w:style w:type="table" w:styleId="147" w:customStyle="1">
    <w:name w:val="147"/>
    <w:basedOn w:val="TableNormal1"/>
    <w:tblPr>
      <w:tblStyleRowBandSize w:val="1"/>
      <w:tblStyleColBandSize w:val="1"/>
      <w:tblCellMar>
        <w:top w:w="41.0" w:type="dxa"/>
        <w:left w:w="827.0" w:type="dxa"/>
        <w:right w:w="115.0" w:type="dxa"/>
      </w:tblCellMar>
    </w:tblPr>
  </w:style>
  <w:style w:type="table" w:styleId="146" w:customStyle="1">
    <w:name w:val="146"/>
    <w:basedOn w:val="TableNormal1"/>
    <w:tblPr>
      <w:tblStyleRowBandSize w:val="1"/>
      <w:tblStyleColBandSize w:val="1"/>
      <w:tblCellMar>
        <w:top w:w="41.0" w:type="dxa"/>
        <w:left w:w="827.0" w:type="dxa"/>
        <w:right w:w="115.0" w:type="dxa"/>
      </w:tblCellMar>
    </w:tblPr>
  </w:style>
  <w:style w:type="table" w:styleId="145" w:customStyle="1">
    <w:name w:val="145"/>
    <w:basedOn w:val="TableNormal1"/>
    <w:tblPr>
      <w:tblStyleRowBandSize w:val="1"/>
      <w:tblStyleColBandSize w:val="1"/>
      <w:tblCellMar>
        <w:top w:w="41.0" w:type="dxa"/>
        <w:left w:w="827.0" w:type="dxa"/>
        <w:right w:w="115.0" w:type="dxa"/>
      </w:tblCellMar>
    </w:tblPr>
  </w:style>
  <w:style w:type="table" w:styleId="144" w:customStyle="1">
    <w:name w:val="144"/>
    <w:basedOn w:val="TableNormal1"/>
    <w:tblPr>
      <w:tblStyleRowBandSize w:val="1"/>
      <w:tblStyleColBandSize w:val="1"/>
      <w:tblCellMar>
        <w:top w:w="41.0" w:type="dxa"/>
        <w:left w:w="827.0" w:type="dxa"/>
        <w:right w:w="115.0" w:type="dxa"/>
      </w:tblCellMar>
    </w:tblPr>
  </w:style>
  <w:style w:type="table" w:styleId="143" w:customStyle="1">
    <w:name w:val="143"/>
    <w:basedOn w:val="TableNormal1"/>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UnresolvedMention" w:customStyle="1">
    <w:name w:val="Unresolved Mention"/>
    <w:basedOn w:val="Fuentedeprrafopredeter"/>
    <w:uiPriority w:val="99"/>
    <w:semiHidden w:val="1"/>
    <w:unhideWhenUsed w:val="1"/>
    <w:rsid w:val="001E5A88"/>
    <w:rPr>
      <w:color w:val="605e5c"/>
      <w:shd w:color="auto" w:fill="e1dfdd" w:val="clear"/>
    </w:rPr>
  </w:style>
  <w:style w:type="table" w:styleId="142" w:customStyle="1">
    <w:name w:val="142"/>
    <w:basedOn w:val="TableNormal2"/>
    <w:tblPr>
      <w:tblStyleRowBandSize w:val="1"/>
      <w:tblStyleColBandSize w:val="1"/>
      <w:tblCellMar>
        <w:top w:w="41.0" w:type="dxa"/>
        <w:left w:w="827.0" w:type="dxa"/>
        <w:right w:w="115.0" w:type="dxa"/>
      </w:tblCellMar>
    </w:tblPr>
  </w:style>
  <w:style w:type="table" w:styleId="141" w:customStyle="1">
    <w:name w:val="141"/>
    <w:basedOn w:val="TableNormal2"/>
    <w:tblPr>
      <w:tblStyleRowBandSize w:val="1"/>
      <w:tblStyleColBandSize w:val="1"/>
      <w:tblCellMar>
        <w:top w:w="41.0" w:type="dxa"/>
        <w:left w:w="827.0" w:type="dxa"/>
        <w:right w:w="115.0" w:type="dxa"/>
      </w:tblCellMar>
    </w:tblPr>
  </w:style>
  <w:style w:type="table" w:styleId="140" w:customStyle="1">
    <w:name w:val="140"/>
    <w:basedOn w:val="TableNormal2"/>
    <w:tblPr>
      <w:tblStyleRowBandSize w:val="1"/>
      <w:tblStyleColBandSize w:val="1"/>
      <w:tblCellMar>
        <w:top w:w="41.0" w:type="dxa"/>
        <w:left w:w="827.0" w:type="dxa"/>
        <w:right w:w="115.0" w:type="dxa"/>
      </w:tblCellMar>
    </w:tblPr>
  </w:style>
  <w:style w:type="table" w:styleId="139" w:customStyle="1">
    <w:name w:val="139"/>
    <w:basedOn w:val="TableNormal2"/>
    <w:tblPr>
      <w:tblStyleRowBandSize w:val="1"/>
      <w:tblStyleColBandSize w:val="1"/>
      <w:tblCellMar>
        <w:top w:w="41.0" w:type="dxa"/>
        <w:left w:w="827.0" w:type="dxa"/>
        <w:right w:w="115.0" w:type="dxa"/>
      </w:tblCellMar>
    </w:tblPr>
  </w:style>
  <w:style w:type="table" w:styleId="138" w:customStyle="1">
    <w:name w:val="138"/>
    <w:basedOn w:val="TableNormal2"/>
    <w:tblPr>
      <w:tblStyleRowBandSize w:val="1"/>
      <w:tblStyleColBandSize w:val="1"/>
      <w:tblCellMar>
        <w:top w:w="41.0" w:type="dxa"/>
        <w:left w:w="827.0" w:type="dxa"/>
        <w:right w:w="115.0" w:type="dxa"/>
      </w:tblCellMar>
    </w:tblPr>
  </w:style>
  <w:style w:type="table" w:styleId="137" w:customStyle="1">
    <w:name w:val="137"/>
    <w:basedOn w:val="TableNormal2"/>
    <w:tblPr>
      <w:tblStyleRowBandSize w:val="1"/>
      <w:tblStyleColBandSize w:val="1"/>
      <w:tblCellMar>
        <w:top w:w="41.0" w:type="dxa"/>
        <w:left w:w="827.0" w:type="dxa"/>
        <w:right w:w="115.0" w:type="dxa"/>
      </w:tblCellMar>
    </w:tblPr>
  </w:style>
  <w:style w:type="table" w:styleId="136" w:customStyle="1">
    <w:name w:val="136"/>
    <w:basedOn w:val="TableNormal2"/>
    <w:tblPr>
      <w:tblStyleRowBandSize w:val="1"/>
      <w:tblStyleColBandSize w:val="1"/>
      <w:tblCellMar>
        <w:top w:w="41.0" w:type="dxa"/>
        <w:left w:w="827.0" w:type="dxa"/>
        <w:right w:w="115.0" w:type="dxa"/>
      </w:tblCellMar>
    </w:tblPr>
  </w:style>
  <w:style w:type="table" w:styleId="135" w:customStyle="1">
    <w:name w:val="135"/>
    <w:basedOn w:val="TableNormal2"/>
    <w:tblPr>
      <w:tblStyleRowBandSize w:val="1"/>
      <w:tblStyleColBandSize w:val="1"/>
      <w:tblCellMar>
        <w:top w:w="41.0" w:type="dxa"/>
        <w:left w:w="827.0" w:type="dxa"/>
        <w:right w:w="115.0" w:type="dxa"/>
      </w:tblCellMar>
    </w:tblPr>
  </w:style>
  <w:style w:type="table" w:styleId="134" w:customStyle="1">
    <w:name w:val="134"/>
    <w:basedOn w:val="TableNormal2"/>
    <w:tblPr>
      <w:tblStyleRowBandSize w:val="1"/>
      <w:tblStyleColBandSize w:val="1"/>
      <w:tblCellMar>
        <w:top w:w="41.0" w:type="dxa"/>
        <w:left w:w="827.0" w:type="dxa"/>
        <w:right w:w="115.0" w:type="dxa"/>
      </w:tblCellMar>
    </w:tblPr>
  </w:style>
  <w:style w:type="table" w:styleId="133" w:customStyle="1">
    <w:name w:val="133"/>
    <w:basedOn w:val="TableNormal2"/>
    <w:tblPr>
      <w:tblStyleRowBandSize w:val="1"/>
      <w:tblStyleColBandSize w:val="1"/>
      <w:tblCellMar>
        <w:top w:w="41.0" w:type="dxa"/>
        <w:left w:w="827.0" w:type="dxa"/>
        <w:right w:w="115.0" w:type="dxa"/>
      </w:tblCellMar>
    </w:tblPr>
  </w:style>
  <w:style w:type="table" w:styleId="132" w:customStyle="1">
    <w:name w:val="132"/>
    <w:basedOn w:val="TableNormal2"/>
    <w:tblPr>
      <w:tblStyleRowBandSize w:val="1"/>
      <w:tblStyleColBandSize w:val="1"/>
      <w:tblCellMar>
        <w:top w:w="41.0" w:type="dxa"/>
        <w:left w:w="827.0" w:type="dxa"/>
        <w:right w:w="115.0" w:type="dxa"/>
      </w:tblCellMar>
    </w:tblPr>
  </w:style>
  <w:style w:type="table" w:styleId="131" w:customStyle="1">
    <w:name w:val="131"/>
    <w:basedOn w:val="TableNormal2"/>
    <w:tblPr>
      <w:tblStyleRowBandSize w:val="1"/>
      <w:tblStyleColBandSize w:val="1"/>
      <w:tblCellMar>
        <w:top w:w="41.0" w:type="dxa"/>
        <w:left w:w="827.0" w:type="dxa"/>
        <w:right w:w="115.0" w:type="dxa"/>
      </w:tblCellMar>
    </w:tblPr>
  </w:style>
  <w:style w:type="table" w:styleId="130" w:customStyle="1">
    <w:name w:val="130"/>
    <w:basedOn w:val="TableNormal2"/>
    <w:tblPr>
      <w:tblStyleRowBandSize w:val="1"/>
      <w:tblStyleColBandSize w:val="1"/>
      <w:tblCellMar>
        <w:top w:w="41.0" w:type="dxa"/>
        <w:left w:w="827.0" w:type="dxa"/>
        <w:right w:w="115.0" w:type="dxa"/>
      </w:tblCellMar>
    </w:tblPr>
  </w:style>
  <w:style w:type="table" w:styleId="129" w:customStyle="1">
    <w:name w:val="129"/>
    <w:basedOn w:val="TableNormal2"/>
    <w:tblPr>
      <w:tblStyleRowBandSize w:val="1"/>
      <w:tblStyleColBandSize w:val="1"/>
      <w:tblCellMar>
        <w:top w:w="41.0" w:type="dxa"/>
        <w:left w:w="827.0" w:type="dxa"/>
        <w:right w:w="115.0" w:type="dxa"/>
      </w:tblCellMar>
    </w:tblPr>
  </w:style>
  <w:style w:type="table" w:styleId="128" w:customStyle="1">
    <w:name w:val="128"/>
    <w:basedOn w:val="TableNormal2"/>
    <w:tblPr>
      <w:tblStyleRowBandSize w:val="1"/>
      <w:tblStyleColBandSize w:val="1"/>
      <w:tblCellMar>
        <w:top w:w="41.0" w:type="dxa"/>
        <w:left w:w="827.0" w:type="dxa"/>
        <w:right w:w="115.0" w:type="dxa"/>
      </w:tblCellMar>
    </w:tblPr>
  </w:style>
  <w:style w:type="table" w:styleId="127" w:customStyle="1">
    <w:name w:val="127"/>
    <w:basedOn w:val="TableNormal2"/>
    <w:tblPr>
      <w:tblStyleRowBandSize w:val="1"/>
      <w:tblStyleColBandSize w:val="1"/>
      <w:tblCellMar>
        <w:top w:w="41.0" w:type="dxa"/>
        <w:left w:w="827.0" w:type="dxa"/>
        <w:right w:w="115.0" w:type="dxa"/>
      </w:tblCellMar>
    </w:tblPr>
  </w:style>
  <w:style w:type="table" w:styleId="126" w:customStyle="1">
    <w:name w:val="126"/>
    <w:basedOn w:val="TableNormal2"/>
    <w:tblPr>
      <w:tblStyleRowBandSize w:val="1"/>
      <w:tblStyleColBandSize w:val="1"/>
      <w:tblCellMar>
        <w:top w:w="41.0" w:type="dxa"/>
        <w:left w:w="827.0" w:type="dxa"/>
        <w:right w:w="115.0" w:type="dxa"/>
      </w:tblCellMar>
    </w:tblPr>
  </w:style>
  <w:style w:type="table" w:styleId="125" w:customStyle="1">
    <w:name w:val="125"/>
    <w:basedOn w:val="TableNormal2"/>
    <w:tblPr>
      <w:tblStyleRowBandSize w:val="1"/>
      <w:tblStyleColBandSize w:val="1"/>
      <w:tblCellMar>
        <w:top w:w="41.0" w:type="dxa"/>
        <w:left w:w="827.0" w:type="dxa"/>
        <w:right w:w="115.0" w:type="dxa"/>
      </w:tblCellMar>
    </w:tblPr>
  </w:style>
  <w:style w:type="table" w:styleId="124" w:customStyle="1">
    <w:name w:val="124"/>
    <w:basedOn w:val="TableNormal2"/>
    <w:tblPr>
      <w:tblStyleRowBandSize w:val="1"/>
      <w:tblStyleColBandSize w:val="1"/>
      <w:tblCellMar>
        <w:top w:w="41.0" w:type="dxa"/>
        <w:left w:w="827.0" w:type="dxa"/>
        <w:right w:w="115.0" w:type="dxa"/>
      </w:tblCellMar>
    </w:tblPr>
  </w:style>
  <w:style w:type="table" w:styleId="123" w:customStyle="1">
    <w:name w:val="123"/>
    <w:basedOn w:val="TableNormal2"/>
    <w:tblPr>
      <w:tblStyleRowBandSize w:val="1"/>
      <w:tblStyleColBandSize w:val="1"/>
      <w:tblCellMar>
        <w:top w:w="41.0" w:type="dxa"/>
        <w:left w:w="827.0" w:type="dxa"/>
        <w:right w:w="115.0" w:type="dxa"/>
      </w:tblCellMar>
    </w:tblPr>
  </w:style>
  <w:style w:type="table" w:styleId="122" w:customStyle="1">
    <w:name w:val="122"/>
    <w:basedOn w:val="TableNormal2"/>
    <w:tblPr>
      <w:tblStyleRowBandSize w:val="1"/>
      <w:tblStyleColBandSize w:val="1"/>
      <w:tblCellMar>
        <w:top w:w="41.0" w:type="dxa"/>
        <w:left w:w="827.0" w:type="dxa"/>
        <w:right w:w="115.0" w:type="dxa"/>
      </w:tblCellMar>
    </w:tblPr>
  </w:style>
  <w:style w:type="table" w:styleId="121" w:customStyle="1">
    <w:name w:val="121"/>
    <w:basedOn w:val="TableNormal2"/>
    <w:tblPr>
      <w:tblStyleRowBandSize w:val="1"/>
      <w:tblStyleColBandSize w:val="1"/>
      <w:tblCellMar>
        <w:top w:w="41.0" w:type="dxa"/>
        <w:left w:w="827.0" w:type="dxa"/>
        <w:right w:w="115.0" w:type="dxa"/>
      </w:tblCellMar>
    </w:tblPr>
  </w:style>
  <w:style w:type="table" w:styleId="120" w:customStyle="1">
    <w:name w:val="120"/>
    <w:basedOn w:val="TableNormal2"/>
    <w:tblPr>
      <w:tblStyleRowBandSize w:val="1"/>
      <w:tblStyleColBandSize w:val="1"/>
      <w:tblCellMar>
        <w:top w:w="41.0" w:type="dxa"/>
        <w:left w:w="827.0" w:type="dxa"/>
        <w:right w:w="115.0" w:type="dxa"/>
      </w:tblCellMar>
    </w:tblPr>
  </w:style>
  <w:style w:type="table" w:styleId="119" w:customStyle="1">
    <w:name w:val="119"/>
    <w:basedOn w:val="TableNormal2"/>
    <w:tblPr>
      <w:tblStyleRowBandSize w:val="1"/>
      <w:tblStyleColBandSize w:val="1"/>
      <w:tblCellMar>
        <w:top w:w="41.0" w:type="dxa"/>
        <w:left w:w="827.0" w:type="dxa"/>
        <w:right w:w="115.0" w:type="dxa"/>
      </w:tblCellMar>
    </w:tblPr>
  </w:style>
  <w:style w:type="table" w:styleId="118" w:customStyle="1">
    <w:name w:val="118"/>
    <w:basedOn w:val="TableNormal2"/>
    <w:tblPr>
      <w:tblStyleRowBandSize w:val="1"/>
      <w:tblStyleColBandSize w:val="1"/>
      <w:tblCellMar>
        <w:top w:w="41.0" w:type="dxa"/>
        <w:left w:w="827.0" w:type="dxa"/>
        <w:right w:w="115.0" w:type="dxa"/>
      </w:tblCellMar>
    </w:tblPr>
  </w:style>
  <w:style w:type="table" w:styleId="117" w:customStyle="1">
    <w:name w:val="117"/>
    <w:basedOn w:val="TableNormal2"/>
    <w:tblPr>
      <w:tblStyleRowBandSize w:val="1"/>
      <w:tblStyleColBandSize w:val="1"/>
      <w:tblCellMar>
        <w:top w:w="41.0" w:type="dxa"/>
        <w:left w:w="827.0" w:type="dxa"/>
        <w:right w:w="115.0" w:type="dxa"/>
      </w:tblCellMar>
    </w:tblPr>
  </w:style>
  <w:style w:type="table" w:styleId="116" w:customStyle="1">
    <w:name w:val="116"/>
    <w:basedOn w:val="TableNormal2"/>
    <w:tblPr>
      <w:tblStyleRowBandSize w:val="1"/>
      <w:tblStyleColBandSize w:val="1"/>
      <w:tblCellMar>
        <w:top w:w="41.0" w:type="dxa"/>
        <w:left w:w="827.0" w:type="dxa"/>
        <w:right w:w="115.0" w:type="dxa"/>
      </w:tblCellMar>
    </w:tblPr>
  </w:style>
  <w:style w:type="table" w:styleId="115" w:customStyle="1">
    <w:name w:val="115"/>
    <w:basedOn w:val="TableNormal2"/>
    <w:tblPr>
      <w:tblStyleRowBandSize w:val="1"/>
      <w:tblStyleColBandSize w:val="1"/>
      <w:tblCellMar>
        <w:top w:w="41.0" w:type="dxa"/>
        <w:left w:w="827.0" w:type="dxa"/>
        <w:right w:w="115.0" w:type="dxa"/>
      </w:tblCellMar>
    </w:tblPr>
  </w:style>
  <w:style w:type="table" w:styleId="114" w:customStyle="1">
    <w:name w:val="114"/>
    <w:basedOn w:val="TableNormal4"/>
    <w:tblPr>
      <w:tblStyleRowBandSize w:val="1"/>
      <w:tblStyleColBandSize w:val="1"/>
      <w:tblCellMar>
        <w:top w:w="41.0" w:type="dxa"/>
        <w:left w:w="827.0" w:type="dxa"/>
        <w:right w:w="115.0" w:type="dxa"/>
      </w:tblCellMar>
    </w:tblPr>
  </w:style>
  <w:style w:type="table" w:styleId="113" w:customStyle="1">
    <w:name w:val="113"/>
    <w:basedOn w:val="TableNormal4"/>
    <w:tblPr>
      <w:tblStyleRowBandSize w:val="1"/>
      <w:tblStyleColBandSize w:val="1"/>
      <w:tblCellMar>
        <w:top w:w="41.0" w:type="dxa"/>
        <w:left w:w="827.0" w:type="dxa"/>
        <w:right w:w="115.0" w:type="dxa"/>
      </w:tblCellMar>
    </w:tblPr>
  </w:style>
  <w:style w:type="table" w:styleId="112" w:customStyle="1">
    <w:name w:val="112"/>
    <w:basedOn w:val="TableNormal4"/>
    <w:tblPr>
      <w:tblStyleRowBandSize w:val="1"/>
      <w:tblStyleColBandSize w:val="1"/>
      <w:tblCellMar>
        <w:top w:w="41.0" w:type="dxa"/>
        <w:left w:w="827.0" w:type="dxa"/>
        <w:right w:w="115.0" w:type="dxa"/>
      </w:tblCellMar>
    </w:tblPr>
  </w:style>
  <w:style w:type="table" w:styleId="111" w:customStyle="1">
    <w:name w:val="111"/>
    <w:basedOn w:val="TableNormal4"/>
    <w:tblPr>
      <w:tblStyleRowBandSize w:val="1"/>
      <w:tblStyleColBandSize w:val="1"/>
      <w:tblCellMar>
        <w:top w:w="41.0" w:type="dxa"/>
        <w:left w:w="827.0" w:type="dxa"/>
        <w:right w:w="115.0" w:type="dxa"/>
      </w:tblCellMar>
    </w:tblPr>
  </w:style>
  <w:style w:type="table" w:styleId="110" w:customStyle="1">
    <w:name w:val="110"/>
    <w:basedOn w:val="TableNormal4"/>
    <w:tblPr>
      <w:tblStyleRowBandSize w:val="1"/>
      <w:tblStyleColBandSize w:val="1"/>
      <w:tblCellMar>
        <w:top w:w="41.0" w:type="dxa"/>
        <w:left w:w="827.0" w:type="dxa"/>
        <w:right w:w="115.0" w:type="dxa"/>
      </w:tblCellMar>
    </w:tblPr>
  </w:style>
  <w:style w:type="table" w:styleId="109" w:customStyle="1">
    <w:name w:val="109"/>
    <w:basedOn w:val="TableNormal4"/>
    <w:tblPr>
      <w:tblStyleRowBandSize w:val="1"/>
      <w:tblStyleColBandSize w:val="1"/>
      <w:tblCellMar>
        <w:top w:w="41.0" w:type="dxa"/>
        <w:left w:w="827.0" w:type="dxa"/>
        <w:right w:w="115.0" w:type="dxa"/>
      </w:tblCellMar>
    </w:tblPr>
  </w:style>
  <w:style w:type="table" w:styleId="108" w:customStyle="1">
    <w:name w:val="108"/>
    <w:basedOn w:val="TableNormal4"/>
    <w:tblPr>
      <w:tblStyleRowBandSize w:val="1"/>
      <w:tblStyleColBandSize w:val="1"/>
      <w:tblCellMar>
        <w:top w:w="41.0" w:type="dxa"/>
        <w:left w:w="827.0" w:type="dxa"/>
        <w:right w:w="115.0" w:type="dxa"/>
      </w:tblCellMar>
    </w:tblPr>
  </w:style>
  <w:style w:type="table" w:styleId="107" w:customStyle="1">
    <w:name w:val="107"/>
    <w:basedOn w:val="TableNormal4"/>
    <w:tblPr>
      <w:tblStyleRowBandSize w:val="1"/>
      <w:tblStyleColBandSize w:val="1"/>
      <w:tblCellMar>
        <w:top w:w="41.0" w:type="dxa"/>
        <w:left w:w="827.0" w:type="dxa"/>
        <w:right w:w="115.0" w:type="dxa"/>
      </w:tblCellMar>
    </w:tblPr>
  </w:style>
  <w:style w:type="table" w:styleId="106" w:customStyle="1">
    <w:name w:val="106"/>
    <w:basedOn w:val="TableNormal4"/>
    <w:tblPr>
      <w:tblStyleRowBandSize w:val="1"/>
      <w:tblStyleColBandSize w:val="1"/>
      <w:tblCellMar>
        <w:top w:w="41.0" w:type="dxa"/>
        <w:left w:w="827.0" w:type="dxa"/>
        <w:right w:w="115.0" w:type="dxa"/>
      </w:tblCellMar>
    </w:tblPr>
  </w:style>
  <w:style w:type="table" w:styleId="105" w:customStyle="1">
    <w:name w:val="105"/>
    <w:basedOn w:val="TableNormal4"/>
    <w:tblPr>
      <w:tblStyleRowBandSize w:val="1"/>
      <w:tblStyleColBandSize w:val="1"/>
      <w:tblCellMar>
        <w:top w:w="41.0" w:type="dxa"/>
        <w:left w:w="827.0" w:type="dxa"/>
        <w:right w:w="115.0" w:type="dxa"/>
      </w:tblCellMar>
    </w:tblPr>
  </w:style>
  <w:style w:type="table" w:styleId="104" w:customStyle="1">
    <w:name w:val="104"/>
    <w:basedOn w:val="TableNormal4"/>
    <w:tblPr>
      <w:tblStyleRowBandSize w:val="1"/>
      <w:tblStyleColBandSize w:val="1"/>
      <w:tblCellMar>
        <w:top w:w="41.0" w:type="dxa"/>
        <w:left w:w="827.0" w:type="dxa"/>
        <w:right w:w="115.0" w:type="dxa"/>
      </w:tblCellMar>
    </w:tblPr>
  </w:style>
  <w:style w:type="table" w:styleId="103" w:customStyle="1">
    <w:name w:val="103"/>
    <w:basedOn w:val="TableNormal4"/>
    <w:tblPr>
      <w:tblStyleRowBandSize w:val="1"/>
      <w:tblStyleColBandSize w:val="1"/>
      <w:tblCellMar>
        <w:top w:w="41.0" w:type="dxa"/>
        <w:left w:w="827.0" w:type="dxa"/>
        <w:right w:w="115.0" w:type="dxa"/>
      </w:tblCellMar>
    </w:tblPr>
  </w:style>
  <w:style w:type="table" w:styleId="102" w:customStyle="1">
    <w:name w:val="102"/>
    <w:basedOn w:val="TableNormal4"/>
    <w:tblPr>
      <w:tblStyleRowBandSize w:val="1"/>
      <w:tblStyleColBandSize w:val="1"/>
      <w:tblCellMar>
        <w:top w:w="41.0" w:type="dxa"/>
        <w:left w:w="827.0" w:type="dxa"/>
        <w:right w:w="115.0" w:type="dxa"/>
      </w:tblCellMar>
    </w:tblPr>
  </w:style>
  <w:style w:type="table" w:styleId="101" w:customStyle="1">
    <w:name w:val="101"/>
    <w:basedOn w:val="TableNormal4"/>
    <w:tblPr>
      <w:tblStyleRowBandSize w:val="1"/>
      <w:tblStyleColBandSize w:val="1"/>
      <w:tblCellMar>
        <w:top w:w="41.0" w:type="dxa"/>
        <w:left w:w="827.0" w:type="dxa"/>
        <w:right w:w="115.0" w:type="dxa"/>
      </w:tblCellMar>
    </w:tblPr>
  </w:style>
  <w:style w:type="table" w:styleId="100" w:customStyle="1">
    <w:name w:val="100"/>
    <w:basedOn w:val="TableNormal4"/>
    <w:tblPr>
      <w:tblStyleRowBandSize w:val="1"/>
      <w:tblStyleColBandSize w:val="1"/>
      <w:tblCellMar>
        <w:top w:w="41.0" w:type="dxa"/>
        <w:left w:w="827.0" w:type="dxa"/>
        <w:right w:w="115.0" w:type="dxa"/>
      </w:tblCellMar>
    </w:tblPr>
  </w:style>
  <w:style w:type="table" w:styleId="99" w:customStyle="1">
    <w:name w:val="99"/>
    <w:basedOn w:val="TableNormal4"/>
    <w:tblPr>
      <w:tblStyleRowBandSize w:val="1"/>
      <w:tblStyleColBandSize w:val="1"/>
      <w:tblCellMar>
        <w:top w:w="41.0" w:type="dxa"/>
        <w:left w:w="827.0" w:type="dxa"/>
        <w:right w:w="115.0" w:type="dxa"/>
      </w:tblCellMar>
    </w:tblPr>
  </w:style>
  <w:style w:type="table" w:styleId="98" w:customStyle="1">
    <w:name w:val="98"/>
    <w:basedOn w:val="TableNormal4"/>
    <w:tblPr>
      <w:tblStyleRowBandSize w:val="1"/>
      <w:tblStyleColBandSize w:val="1"/>
      <w:tblCellMar>
        <w:top w:w="41.0" w:type="dxa"/>
        <w:left w:w="827.0" w:type="dxa"/>
        <w:right w:w="115.0" w:type="dxa"/>
      </w:tblCellMar>
    </w:tblPr>
  </w:style>
  <w:style w:type="table" w:styleId="97" w:customStyle="1">
    <w:name w:val="97"/>
    <w:basedOn w:val="TableNormal4"/>
    <w:tblPr>
      <w:tblStyleRowBandSize w:val="1"/>
      <w:tblStyleColBandSize w:val="1"/>
      <w:tblCellMar>
        <w:top w:w="41.0" w:type="dxa"/>
        <w:left w:w="827.0" w:type="dxa"/>
        <w:right w:w="115.0" w:type="dxa"/>
      </w:tblCellMar>
    </w:tblPr>
  </w:style>
  <w:style w:type="table" w:styleId="96" w:customStyle="1">
    <w:name w:val="96"/>
    <w:basedOn w:val="TableNormal4"/>
    <w:tblPr>
      <w:tblStyleRowBandSize w:val="1"/>
      <w:tblStyleColBandSize w:val="1"/>
      <w:tblCellMar>
        <w:top w:w="41.0" w:type="dxa"/>
        <w:left w:w="827.0" w:type="dxa"/>
        <w:right w:w="115.0" w:type="dxa"/>
      </w:tblCellMar>
    </w:tblPr>
  </w:style>
  <w:style w:type="table" w:styleId="95" w:customStyle="1">
    <w:name w:val="95"/>
    <w:basedOn w:val="TableNormal4"/>
    <w:tblPr>
      <w:tblStyleRowBandSize w:val="1"/>
      <w:tblStyleColBandSize w:val="1"/>
      <w:tblCellMar>
        <w:top w:w="41.0" w:type="dxa"/>
        <w:left w:w="827.0" w:type="dxa"/>
        <w:right w:w="115.0" w:type="dxa"/>
      </w:tblCellMar>
    </w:tblPr>
  </w:style>
  <w:style w:type="table" w:styleId="94" w:customStyle="1">
    <w:name w:val="94"/>
    <w:basedOn w:val="TableNormal4"/>
    <w:tblPr>
      <w:tblStyleRowBandSize w:val="1"/>
      <w:tblStyleColBandSize w:val="1"/>
      <w:tblCellMar>
        <w:top w:w="41.0" w:type="dxa"/>
        <w:left w:w="827.0" w:type="dxa"/>
        <w:right w:w="115.0" w:type="dxa"/>
      </w:tblCellMar>
    </w:tblPr>
  </w:style>
  <w:style w:type="table" w:styleId="93" w:customStyle="1">
    <w:name w:val="93"/>
    <w:basedOn w:val="TableNormal4"/>
    <w:tblPr>
      <w:tblStyleRowBandSize w:val="1"/>
      <w:tblStyleColBandSize w:val="1"/>
      <w:tblCellMar>
        <w:top w:w="41.0" w:type="dxa"/>
        <w:left w:w="827.0" w:type="dxa"/>
        <w:right w:w="115.0" w:type="dxa"/>
      </w:tblCellMar>
    </w:tblPr>
  </w:style>
  <w:style w:type="table" w:styleId="92" w:customStyle="1">
    <w:name w:val="92"/>
    <w:basedOn w:val="TableNormal4"/>
    <w:tblPr>
      <w:tblStyleRowBandSize w:val="1"/>
      <w:tblStyleColBandSize w:val="1"/>
      <w:tblCellMar>
        <w:top w:w="41.0" w:type="dxa"/>
        <w:left w:w="827.0" w:type="dxa"/>
        <w:right w:w="115.0" w:type="dxa"/>
      </w:tblCellMar>
    </w:tblPr>
  </w:style>
  <w:style w:type="table" w:styleId="91" w:customStyle="1">
    <w:name w:val="91"/>
    <w:basedOn w:val="TableNormal4"/>
    <w:tblPr>
      <w:tblStyleRowBandSize w:val="1"/>
      <w:tblStyleColBandSize w:val="1"/>
      <w:tblCellMar>
        <w:top w:w="41.0" w:type="dxa"/>
        <w:left w:w="827.0" w:type="dxa"/>
        <w:right w:w="115.0" w:type="dxa"/>
      </w:tblCellMar>
    </w:tblPr>
  </w:style>
  <w:style w:type="table" w:styleId="90" w:customStyle="1">
    <w:name w:val="90"/>
    <w:basedOn w:val="TableNormal4"/>
    <w:tblPr>
      <w:tblStyleRowBandSize w:val="1"/>
      <w:tblStyleColBandSize w:val="1"/>
      <w:tblCellMar>
        <w:top w:w="41.0" w:type="dxa"/>
        <w:left w:w="827.0" w:type="dxa"/>
        <w:right w:w="115.0" w:type="dxa"/>
      </w:tblCellMar>
    </w:tblPr>
  </w:style>
  <w:style w:type="table" w:styleId="89" w:customStyle="1">
    <w:name w:val="89"/>
    <w:basedOn w:val="TableNormal4"/>
    <w:tblPr>
      <w:tblStyleRowBandSize w:val="1"/>
      <w:tblStyleColBandSize w:val="1"/>
      <w:tblCellMar>
        <w:top w:w="41.0" w:type="dxa"/>
        <w:left w:w="827.0" w:type="dxa"/>
        <w:right w:w="115.0" w:type="dxa"/>
      </w:tblCellMar>
    </w:tblPr>
  </w:style>
  <w:style w:type="table" w:styleId="88" w:customStyle="1">
    <w:name w:val="88"/>
    <w:basedOn w:val="TableNormal4"/>
    <w:tblPr>
      <w:tblStyleRowBandSize w:val="1"/>
      <w:tblStyleColBandSize w:val="1"/>
      <w:tblCellMar>
        <w:top w:w="41.0" w:type="dxa"/>
        <w:left w:w="827.0" w:type="dxa"/>
        <w:right w:w="115.0" w:type="dxa"/>
      </w:tblCellMar>
    </w:tblPr>
  </w:style>
  <w:style w:type="table" w:styleId="87" w:customStyle="1">
    <w:name w:val="87"/>
    <w:basedOn w:val="TableNormal4"/>
    <w:tblPr>
      <w:tblStyleRowBandSize w:val="1"/>
      <w:tblStyleColBandSize w:val="1"/>
      <w:tblCellMar>
        <w:top w:w="41.0" w:type="dxa"/>
        <w:left w:w="827.0" w:type="dxa"/>
        <w:right w:w="115.0" w:type="dxa"/>
      </w:tblCellMar>
    </w:tblPr>
  </w:style>
  <w:style w:type="table" w:styleId="86" w:customStyle="1">
    <w:name w:val="86"/>
    <w:basedOn w:val="TableNormal4"/>
    <w:tblPr>
      <w:tblStyleRowBandSize w:val="1"/>
      <w:tblStyleColBandSize w:val="1"/>
      <w:tblCellMar>
        <w:top w:w="41.0" w:type="dxa"/>
        <w:left w:w="827.0" w:type="dxa"/>
        <w:right w:w="115.0" w:type="dxa"/>
      </w:tblCellMar>
    </w:tblPr>
  </w:style>
  <w:style w:type="table" w:styleId="85" w:customStyle="1">
    <w:name w:val="85"/>
    <w:basedOn w:val="TableNormal4"/>
    <w:tblPr>
      <w:tblStyleRowBandSize w:val="1"/>
      <w:tblStyleColBandSize w:val="1"/>
      <w:tblCellMar>
        <w:top w:w="41.0" w:type="dxa"/>
        <w:left w:w="827.0" w:type="dxa"/>
        <w:right w:w="115.0" w:type="dxa"/>
      </w:tblCellMar>
    </w:tblPr>
  </w:style>
  <w:style w:type="table" w:styleId="84" w:customStyle="1">
    <w:name w:val="84"/>
    <w:basedOn w:val="TableNormal4"/>
    <w:tblPr>
      <w:tblStyleRowBandSize w:val="1"/>
      <w:tblStyleColBandSize w:val="1"/>
      <w:tblCellMar>
        <w:top w:w="41.0" w:type="dxa"/>
        <w:left w:w="827.0" w:type="dxa"/>
        <w:right w:w="115.0" w:type="dxa"/>
      </w:tblCellMar>
    </w:tblPr>
  </w:style>
  <w:style w:type="table" w:styleId="83" w:customStyle="1">
    <w:name w:val="83"/>
    <w:basedOn w:val="TableNormal4"/>
    <w:tblPr>
      <w:tblStyleRowBandSize w:val="1"/>
      <w:tblStyleColBandSize w:val="1"/>
      <w:tblCellMar>
        <w:top w:w="41.0" w:type="dxa"/>
        <w:left w:w="827.0" w:type="dxa"/>
        <w:right w:w="115.0" w:type="dxa"/>
      </w:tblCellMar>
    </w:tblPr>
  </w:style>
  <w:style w:type="table" w:styleId="82" w:customStyle="1">
    <w:name w:val="82"/>
    <w:basedOn w:val="TableNormal4"/>
    <w:tblPr>
      <w:tblStyleRowBandSize w:val="1"/>
      <w:tblStyleColBandSize w:val="1"/>
      <w:tblCellMar>
        <w:top w:w="41.0" w:type="dxa"/>
        <w:left w:w="827.0" w:type="dxa"/>
        <w:right w:w="115.0" w:type="dxa"/>
      </w:tblCellMar>
    </w:tblPr>
  </w:style>
  <w:style w:type="table" w:styleId="81" w:customStyle="1">
    <w:name w:val="81"/>
    <w:basedOn w:val="TableNormal4"/>
    <w:tblPr>
      <w:tblStyleRowBandSize w:val="1"/>
      <w:tblStyleColBandSize w:val="1"/>
      <w:tblCellMar>
        <w:top w:w="41.0" w:type="dxa"/>
        <w:left w:w="827.0" w:type="dxa"/>
        <w:right w:w="115.0" w:type="dxa"/>
      </w:tblCellMar>
    </w:tblPr>
  </w:style>
  <w:style w:type="table" w:styleId="80" w:customStyle="1">
    <w:name w:val="80"/>
    <w:basedOn w:val="TableNormal4"/>
    <w:tblPr>
      <w:tblStyleRowBandSize w:val="1"/>
      <w:tblStyleColBandSize w:val="1"/>
      <w:tblCellMar>
        <w:top w:w="41.0" w:type="dxa"/>
        <w:left w:w="827.0" w:type="dxa"/>
        <w:right w:w="115.0" w:type="dxa"/>
      </w:tblCellMar>
    </w:tblPr>
  </w:style>
  <w:style w:type="table" w:styleId="79" w:customStyle="1">
    <w:name w:val="79"/>
    <w:basedOn w:val="TableNormal4"/>
    <w:tblPr>
      <w:tblStyleRowBandSize w:val="1"/>
      <w:tblStyleColBandSize w:val="1"/>
      <w:tblCellMar>
        <w:top w:w="41.0" w:type="dxa"/>
        <w:left w:w="827.0" w:type="dxa"/>
        <w:right w:w="115.0" w:type="dxa"/>
      </w:tblCellMar>
    </w:tblPr>
  </w:style>
  <w:style w:type="table" w:styleId="78" w:customStyle="1">
    <w:name w:val="78"/>
    <w:basedOn w:val="TableNormal4"/>
    <w:tblPr>
      <w:tblStyleRowBandSize w:val="1"/>
      <w:tblStyleColBandSize w:val="1"/>
      <w:tblCellMar>
        <w:top w:w="41.0" w:type="dxa"/>
        <w:left w:w="827.0" w:type="dxa"/>
        <w:right w:w="115.0" w:type="dxa"/>
      </w:tblCellMar>
    </w:tblPr>
  </w:style>
  <w:style w:type="table" w:styleId="77" w:customStyle="1">
    <w:name w:val="77"/>
    <w:basedOn w:val="TableNormal4"/>
    <w:tblPr>
      <w:tblStyleRowBandSize w:val="1"/>
      <w:tblStyleColBandSize w:val="1"/>
      <w:tblCellMar>
        <w:top w:w="41.0" w:type="dxa"/>
        <w:left w:w="827.0" w:type="dxa"/>
        <w:right w:w="115.0" w:type="dxa"/>
      </w:tblCellMar>
    </w:tblPr>
  </w:style>
  <w:style w:type="table" w:styleId="76" w:customStyle="1">
    <w:name w:val="76"/>
    <w:basedOn w:val="TableNormal4"/>
    <w:tblPr>
      <w:tblStyleRowBandSize w:val="1"/>
      <w:tblStyleColBandSize w:val="1"/>
      <w:tblCellMar>
        <w:top w:w="41.0" w:type="dxa"/>
        <w:left w:w="827.0" w:type="dxa"/>
        <w:right w:w="115.0" w:type="dxa"/>
      </w:tblCellMar>
    </w:tblPr>
  </w:style>
  <w:style w:type="table" w:styleId="75" w:customStyle="1">
    <w:name w:val="75"/>
    <w:basedOn w:val="TableNormal4"/>
    <w:tblPr>
      <w:tblStyleRowBandSize w:val="1"/>
      <w:tblStyleColBandSize w:val="1"/>
      <w:tblCellMar>
        <w:top w:w="41.0" w:type="dxa"/>
        <w:left w:w="827.0" w:type="dxa"/>
        <w:right w:w="115.0" w:type="dxa"/>
      </w:tblCellMar>
    </w:tblPr>
  </w:style>
  <w:style w:type="table" w:styleId="74" w:customStyle="1">
    <w:name w:val="74"/>
    <w:basedOn w:val="TableNormal4"/>
    <w:tblPr>
      <w:tblStyleRowBandSize w:val="1"/>
      <w:tblStyleColBandSize w:val="1"/>
      <w:tblCellMar>
        <w:top w:w="41.0" w:type="dxa"/>
        <w:left w:w="827.0" w:type="dxa"/>
        <w:right w:w="115.0" w:type="dxa"/>
      </w:tblCellMar>
    </w:tblPr>
  </w:style>
  <w:style w:type="table" w:styleId="73" w:customStyle="1">
    <w:name w:val="73"/>
    <w:basedOn w:val="TableNormal7"/>
    <w:tblPr>
      <w:tblStyleRowBandSize w:val="1"/>
      <w:tblStyleColBandSize w:val="1"/>
      <w:tblCellMar>
        <w:top w:w="41.0" w:type="dxa"/>
        <w:left w:w="827.0" w:type="dxa"/>
        <w:right w:w="115.0" w:type="dxa"/>
      </w:tblCellMar>
    </w:tblPr>
  </w:style>
  <w:style w:type="table" w:styleId="72" w:customStyle="1">
    <w:name w:val="72"/>
    <w:basedOn w:val="TableNormal7"/>
    <w:tblPr>
      <w:tblStyleRowBandSize w:val="1"/>
      <w:tblStyleColBandSize w:val="1"/>
      <w:tblCellMar>
        <w:top w:w="41.0" w:type="dxa"/>
        <w:left w:w="827.0" w:type="dxa"/>
        <w:right w:w="115.0" w:type="dxa"/>
      </w:tblCellMar>
    </w:tblPr>
  </w:style>
  <w:style w:type="table" w:styleId="71" w:customStyle="1">
    <w:name w:val="71"/>
    <w:basedOn w:val="TableNormal7"/>
    <w:tblPr>
      <w:tblStyleRowBandSize w:val="1"/>
      <w:tblStyleColBandSize w:val="1"/>
      <w:tblCellMar>
        <w:top w:w="41.0" w:type="dxa"/>
        <w:left w:w="827.0" w:type="dxa"/>
        <w:right w:w="115.0" w:type="dxa"/>
      </w:tblCellMar>
    </w:tblPr>
  </w:style>
  <w:style w:type="table" w:styleId="70" w:customStyle="1">
    <w:name w:val="70"/>
    <w:basedOn w:val="TableNormal7"/>
    <w:tblPr>
      <w:tblStyleRowBandSize w:val="1"/>
      <w:tblStyleColBandSize w:val="1"/>
      <w:tblCellMar>
        <w:top w:w="41.0" w:type="dxa"/>
        <w:left w:w="827.0" w:type="dxa"/>
        <w:right w:w="115.0" w:type="dxa"/>
      </w:tblCellMar>
    </w:tblPr>
  </w:style>
  <w:style w:type="table" w:styleId="69" w:customStyle="1">
    <w:name w:val="69"/>
    <w:basedOn w:val="TableNormal7"/>
    <w:tblPr>
      <w:tblStyleRowBandSize w:val="1"/>
      <w:tblStyleColBandSize w:val="1"/>
      <w:tblCellMar>
        <w:top w:w="41.0" w:type="dxa"/>
        <w:left w:w="827.0" w:type="dxa"/>
        <w:right w:w="115.0" w:type="dxa"/>
      </w:tblCellMar>
    </w:tblPr>
  </w:style>
  <w:style w:type="table" w:styleId="68" w:customStyle="1">
    <w:name w:val="68"/>
    <w:basedOn w:val="TableNormal7"/>
    <w:tblPr>
      <w:tblStyleRowBandSize w:val="1"/>
      <w:tblStyleColBandSize w:val="1"/>
      <w:tblCellMar>
        <w:top w:w="41.0" w:type="dxa"/>
        <w:left w:w="827.0" w:type="dxa"/>
        <w:right w:w="115.0" w:type="dxa"/>
      </w:tblCellMar>
    </w:tblPr>
  </w:style>
  <w:style w:type="table" w:styleId="67" w:customStyle="1">
    <w:name w:val="67"/>
    <w:basedOn w:val="TableNormal7"/>
    <w:tblPr>
      <w:tblStyleRowBandSize w:val="1"/>
      <w:tblStyleColBandSize w:val="1"/>
      <w:tblCellMar>
        <w:top w:w="41.0" w:type="dxa"/>
        <w:left w:w="827.0" w:type="dxa"/>
        <w:right w:w="115.0" w:type="dxa"/>
      </w:tblCellMar>
    </w:tblPr>
  </w:style>
  <w:style w:type="table" w:styleId="66" w:customStyle="1">
    <w:name w:val="66"/>
    <w:basedOn w:val="TableNormal7"/>
    <w:tblPr>
      <w:tblStyleRowBandSize w:val="1"/>
      <w:tblStyleColBandSize w:val="1"/>
      <w:tblCellMar>
        <w:top w:w="41.0" w:type="dxa"/>
        <w:left w:w="827.0" w:type="dxa"/>
        <w:right w:w="115.0" w:type="dxa"/>
      </w:tblCellMar>
    </w:tblPr>
  </w:style>
  <w:style w:type="table" w:styleId="65" w:customStyle="1">
    <w:name w:val="65"/>
    <w:basedOn w:val="TableNormal7"/>
    <w:tblPr>
      <w:tblStyleRowBandSize w:val="1"/>
      <w:tblStyleColBandSize w:val="1"/>
      <w:tblCellMar>
        <w:top w:w="41.0" w:type="dxa"/>
        <w:left w:w="827.0" w:type="dxa"/>
        <w:right w:w="115.0" w:type="dxa"/>
      </w:tblCellMar>
    </w:tblPr>
  </w:style>
  <w:style w:type="table" w:styleId="64" w:customStyle="1">
    <w:name w:val="64"/>
    <w:basedOn w:val="TableNormal7"/>
    <w:tblPr>
      <w:tblStyleRowBandSize w:val="1"/>
      <w:tblStyleColBandSize w:val="1"/>
      <w:tblCellMar>
        <w:top w:w="41.0" w:type="dxa"/>
        <w:left w:w="827.0" w:type="dxa"/>
        <w:right w:w="115.0" w:type="dxa"/>
      </w:tblCellMar>
    </w:tblPr>
  </w:style>
  <w:style w:type="table" w:styleId="63" w:customStyle="1">
    <w:name w:val="63"/>
    <w:basedOn w:val="TableNormal7"/>
    <w:tblPr>
      <w:tblStyleRowBandSize w:val="1"/>
      <w:tblStyleColBandSize w:val="1"/>
      <w:tblCellMar>
        <w:top w:w="41.0" w:type="dxa"/>
        <w:left w:w="827.0" w:type="dxa"/>
        <w:right w:w="115.0" w:type="dxa"/>
      </w:tblCellMar>
    </w:tblPr>
  </w:style>
  <w:style w:type="table" w:styleId="62" w:customStyle="1">
    <w:name w:val="62"/>
    <w:basedOn w:val="TableNormal7"/>
    <w:tblPr>
      <w:tblStyleRowBandSize w:val="1"/>
      <w:tblStyleColBandSize w:val="1"/>
      <w:tblCellMar>
        <w:top w:w="41.0" w:type="dxa"/>
        <w:left w:w="827.0" w:type="dxa"/>
        <w:right w:w="115.0" w:type="dxa"/>
      </w:tblCellMar>
    </w:tblPr>
  </w:style>
  <w:style w:type="table" w:styleId="61" w:customStyle="1">
    <w:name w:val="61"/>
    <w:basedOn w:val="TableNormal7"/>
    <w:tblPr>
      <w:tblStyleRowBandSize w:val="1"/>
      <w:tblStyleColBandSize w:val="1"/>
      <w:tblCellMar>
        <w:top w:w="41.0" w:type="dxa"/>
        <w:left w:w="827.0" w:type="dxa"/>
        <w:right w:w="115.0" w:type="dxa"/>
      </w:tblCellMar>
    </w:tblPr>
  </w:style>
  <w:style w:type="table" w:styleId="60" w:customStyle="1">
    <w:name w:val="60"/>
    <w:basedOn w:val="TableNormal8"/>
    <w:tblPr>
      <w:tblStyleRowBandSize w:val="1"/>
      <w:tblStyleColBandSize w:val="1"/>
      <w:tblCellMar>
        <w:top w:w="41.0" w:type="dxa"/>
        <w:left w:w="827.0" w:type="dxa"/>
        <w:right w:w="115.0" w:type="dxa"/>
      </w:tblCellMar>
    </w:tblPr>
  </w:style>
  <w:style w:type="table" w:styleId="59" w:customStyle="1">
    <w:name w:val="59"/>
    <w:basedOn w:val="TableNormal8"/>
    <w:tblPr>
      <w:tblStyleRowBandSize w:val="1"/>
      <w:tblStyleColBandSize w:val="1"/>
      <w:tblCellMar>
        <w:top w:w="41.0" w:type="dxa"/>
        <w:left w:w="827.0" w:type="dxa"/>
        <w:right w:w="115.0" w:type="dxa"/>
      </w:tblCellMar>
    </w:tblPr>
  </w:style>
  <w:style w:type="table" w:styleId="58" w:customStyle="1">
    <w:name w:val="58"/>
    <w:basedOn w:val="TableNormal8"/>
    <w:tblPr>
      <w:tblStyleRowBandSize w:val="1"/>
      <w:tblStyleColBandSize w:val="1"/>
      <w:tblCellMar>
        <w:top w:w="41.0" w:type="dxa"/>
        <w:left w:w="827.0" w:type="dxa"/>
        <w:right w:w="115.0" w:type="dxa"/>
      </w:tblCellMar>
    </w:tblPr>
  </w:style>
  <w:style w:type="table" w:styleId="57" w:customStyle="1">
    <w:name w:val="57"/>
    <w:basedOn w:val="TableNormal8"/>
    <w:tblPr>
      <w:tblStyleRowBandSize w:val="1"/>
      <w:tblStyleColBandSize w:val="1"/>
      <w:tblCellMar>
        <w:top w:w="41.0" w:type="dxa"/>
        <w:left w:w="827.0" w:type="dxa"/>
        <w:right w:w="115.0" w:type="dxa"/>
      </w:tblCellMar>
    </w:tblPr>
  </w:style>
  <w:style w:type="table" w:styleId="56" w:customStyle="1">
    <w:name w:val="56"/>
    <w:basedOn w:val="TableNormal8"/>
    <w:tblPr>
      <w:tblStyleRowBandSize w:val="1"/>
      <w:tblStyleColBandSize w:val="1"/>
      <w:tblCellMar>
        <w:top w:w="41.0" w:type="dxa"/>
        <w:left w:w="827.0" w:type="dxa"/>
        <w:right w:w="115.0" w:type="dxa"/>
      </w:tblCellMar>
    </w:tblPr>
  </w:style>
  <w:style w:type="table" w:styleId="55" w:customStyle="1">
    <w:name w:val="55"/>
    <w:basedOn w:val="TableNormal8"/>
    <w:tblPr>
      <w:tblStyleRowBandSize w:val="1"/>
      <w:tblStyleColBandSize w:val="1"/>
      <w:tblCellMar>
        <w:top w:w="41.0" w:type="dxa"/>
        <w:left w:w="827.0" w:type="dxa"/>
        <w:right w:w="115.0" w:type="dxa"/>
      </w:tblCellMar>
    </w:tblPr>
  </w:style>
  <w:style w:type="table" w:styleId="54" w:customStyle="1">
    <w:name w:val="54"/>
    <w:basedOn w:val="TableNormal8"/>
    <w:tblPr>
      <w:tblStyleRowBandSize w:val="1"/>
      <w:tblStyleColBandSize w:val="1"/>
      <w:tblCellMar>
        <w:top w:w="41.0" w:type="dxa"/>
        <w:left w:w="827.0" w:type="dxa"/>
        <w:right w:w="115.0" w:type="dxa"/>
      </w:tblCellMar>
    </w:tblPr>
  </w:style>
  <w:style w:type="table" w:styleId="53" w:customStyle="1">
    <w:name w:val="53"/>
    <w:basedOn w:val="TableNormal8"/>
    <w:tblPr>
      <w:tblStyleRowBandSize w:val="1"/>
      <w:tblStyleColBandSize w:val="1"/>
      <w:tblCellMar>
        <w:top w:w="41.0" w:type="dxa"/>
        <w:left w:w="827.0" w:type="dxa"/>
        <w:right w:w="115.0" w:type="dxa"/>
      </w:tblCellMar>
    </w:tblPr>
  </w:style>
  <w:style w:type="table" w:styleId="52" w:customStyle="1">
    <w:name w:val="52"/>
    <w:basedOn w:val="TableNormal8"/>
    <w:tblPr>
      <w:tblStyleRowBandSize w:val="1"/>
      <w:tblStyleColBandSize w:val="1"/>
      <w:tblCellMar>
        <w:top w:w="41.0" w:type="dxa"/>
        <w:left w:w="827.0" w:type="dxa"/>
        <w:right w:w="115.0" w:type="dxa"/>
      </w:tblCellMar>
    </w:tblPr>
  </w:style>
  <w:style w:type="table" w:styleId="51" w:customStyle="1">
    <w:name w:val="51"/>
    <w:basedOn w:val="TableNormal8"/>
    <w:tblPr>
      <w:tblStyleRowBandSize w:val="1"/>
      <w:tblStyleColBandSize w:val="1"/>
      <w:tblCellMar>
        <w:top w:w="41.0" w:type="dxa"/>
        <w:left w:w="827.0" w:type="dxa"/>
        <w:right w:w="115.0" w:type="dxa"/>
      </w:tblCellMar>
    </w:tblPr>
  </w:style>
  <w:style w:type="table" w:styleId="50" w:customStyle="1">
    <w:name w:val="50"/>
    <w:basedOn w:val="TableNormal8"/>
    <w:tblPr>
      <w:tblStyleRowBandSize w:val="1"/>
      <w:tblStyleColBandSize w:val="1"/>
      <w:tblCellMar>
        <w:top w:w="41.0" w:type="dxa"/>
        <w:left w:w="827.0" w:type="dxa"/>
        <w:right w:w="115.0" w:type="dxa"/>
      </w:tblCellMar>
    </w:tblPr>
  </w:style>
  <w:style w:type="table" w:styleId="49" w:customStyle="1">
    <w:name w:val="49"/>
    <w:basedOn w:val="TableNormal8"/>
    <w:tblPr>
      <w:tblStyleRowBandSize w:val="1"/>
      <w:tblStyleColBandSize w:val="1"/>
      <w:tblCellMar>
        <w:top w:w="41.0" w:type="dxa"/>
        <w:left w:w="827.0" w:type="dxa"/>
        <w:right w:w="115.0" w:type="dxa"/>
      </w:tblCellMar>
    </w:tblPr>
  </w:style>
  <w:style w:type="table" w:styleId="48" w:customStyle="1">
    <w:name w:val="48"/>
    <w:basedOn w:val="TableNormal8"/>
    <w:tblPr>
      <w:tblStyleRowBandSize w:val="1"/>
      <w:tblStyleColBandSize w:val="1"/>
      <w:tblCellMar>
        <w:top w:w="41.0" w:type="dxa"/>
        <w:left w:w="827.0" w:type="dxa"/>
        <w:right w:w="115.0" w:type="dxa"/>
      </w:tblCellMar>
    </w:tblPr>
  </w:style>
  <w:style w:type="table" w:styleId="47" w:customStyle="1">
    <w:name w:val="47"/>
    <w:basedOn w:val="TableNormal8"/>
    <w:tblPr>
      <w:tblStyleRowBandSize w:val="1"/>
      <w:tblStyleColBandSize w:val="1"/>
      <w:tblCellMar>
        <w:top w:w="41.0" w:type="dxa"/>
        <w:left w:w="827.0" w:type="dxa"/>
        <w:right w:w="115.0" w:type="dxa"/>
      </w:tblCellMar>
    </w:tblPr>
  </w:style>
  <w:style w:type="table" w:styleId="46" w:customStyle="1">
    <w:name w:val="46"/>
    <w:basedOn w:val="TableNormal8"/>
    <w:tblPr>
      <w:tblStyleRowBandSize w:val="1"/>
      <w:tblStyleColBandSize w:val="1"/>
      <w:tblCellMar>
        <w:top w:w="41.0" w:type="dxa"/>
        <w:left w:w="827.0" w:type="dxa"/>
        <w:right w:w="115.0" w:type="dxa"/>
      </w:tblCellMar>
    </w:tblPr>
  </w:style>
  <w:style w:type="table" w:styleId="45" w:customStyle="1">
    <w:name w:val="45"/>
    <w:basedOn w:val="TableNormal8"/>
    <w:tblPr>
      <w:tblStyleRowBandSize w:val="1"/>
      <w:tblStyleColBandSize w:val="1"/>
      <w:tblCellMar>
        <w:top w:w="41.0" w:type="dxa"/>
        <w:left w:w="827.0" w:type="dxa"/>
        <w:right w:w="115.0" w:type="dxa"/>
      </w:tblCellMar>
    </w:tblPr>
  </w:style>
  <w:style w:type="table" w:styleId="44" w:customStyle="1">
    <w:name w:val="44"/>
    <w:basedOn w:val="TableNormal8"/>
    <w:tblPr>
      <w:tblStyleRowBandSize w:val="1"/>
      <w:tblStyleColBandSize w:val="1"/>
      <w:tblCellMar>
        <w:top w:w="41.0" w:type="dxa"/>
        <w:left w:w="827.0" w:type="dxa"/>
        <w:right w:w="115.0" w:type="dxa"/>
      </w:tblCellMar>
    </w:tblPr>
  </w:style>
  <w:style w:type="table" w:styleId="43" w:customStyle="1">
    <w:name w:val="43"/>
    <w:basedOn w:val="TableNormal8"/>
    <w:tblPr>
      <w:tblStyleRowBandSize w:val="1"/>
      <w:tblStyleColBandSize w:val="1"/>
      <w:tblCellMar>
        <w:top w:w="41.0" w:type="dxa"/>
        <w:left w:w="827.0" w:type="dxa"/>
        <w:right w:w="115.0" w:type="dxa"/>
      </w:tblCellMar>
    </w:tblPr>
  </w:style>
  <w:style w:type="table" w:styleId="42" w:customStyle="1">
    <w:name w:val="42"/>
    <w:basedOn w:val="TableNormal8"/>
    <w:tblPr>
      <w:tblStyleRowBandSize w:val="1"/>
      <w:tblStyleColBandSize w:val="1"/>
      <w:tblCellMar>
        <w:top w:w="41.0" w:type="dxa"/>
        <w:left w:w="827.0" w:type="dxa"/>
        <w:right w:w="115.0" w:type="dxa"/>
      </w:tblCellMar>
    </w:tblPr>
  </w:style>
  <w:style w:type="table" w:styleId="41" w:customStyle="1">
    <w:name w:val="41"/>
    <w:basedOn w:val="TableNormal8"/>
    <w:tblPr>
      <w:tblStyleRowBandSize w:val="1"/>
      <w:tblStyleColBandSize w:val="1"/>
      <w:tblCellMar>
        <w:top w:w="41.0" w:type="dxa"/>
        <w:left w:w="827.0" w:type="dxa"/>
        <w:right w:w="115.0" w:type="dxa"/>
      </w:tblCellMar>
    </w:tblPr>
  </w:style>
  <w:style w:type="table" w:styleId="40" w:customStyle="1">
    <w:name w:val="40"/>
    <w:basedOn w:val="TableNormal8"/>
    <w:tblPr>
      <w:tblStyleRowBandSize w:val="1"/>
      <w:tblStyleColBandSize w:val="1"/>
      <w:tblCellMar>
        <w:top w:w="41.0" w:type="dxa"/>
        <w:left w:w="827.0" w:type="dxa"/>
        <w:right w:w="115.0" w:type="dxa"/>
      </w:tblCellMar>
    </w:tblPr>
  </w:style>
  <w:style w:type="table" w:styleId="39" w:customStyle="1">
    <w:name w:val="39"/>
    <w:basedOn w:val="TableNormal8"/>
    <w:tblPr>
      <w:tblStyleRowBandSize w:val="1"/>
      <w:tblStyleColBandSize w:val="1"/>
      <w:tblCellMar>
        <w:top w:w="41.0" w:type="dxa"/>
        <w:left w:w="827.0" w:type="dxa"/>
        <w:right w:w="115.0" w:type="dxa"/>
      </w:tblCellMar>
    </w:tblPr>
  </w:style>
  <w:style w:type="table" w:styleId="38" w:customStyle="1">
    <w:name w:val="38"/>
    <w:basedOn w:val="TableNormal8"/>
    <w:tblPr>
      <w:tblStyleRowBandSize w:val="1"/>
      <w:tblStyleColBandSize w:val="1"/>
      <w:tblCellMar>
        <w:top w:w="41.0" w:type="dxa"/>
        <w:left w:w="827.0" w:type="dxa"/>
        <w:right w:w="115.0" w:type="dxa"/>
      </w:tblCellMar>
    </w:tblPr>
  </w:style>
  <w:style w:type="table" w:styleId="37" w:customStyle="1">
    <w:name w:val="37"/>
    <w:basedOn w:val="TableNormal8"/>
    <w:tblPr>
      <w:tblStyleRowBandSize w:val="1"/>
      <w:tblStyleColBandSize w:val="1"/>
      <w:tblCellMar>
        <w:top w:w="41.0" w:type="dxa"/>
        <w:left w:w="827.0" w:type="dxa"/>
        <w:right w:w="115.0" w:type="dxa"/>
      </w:tblCellMar>
    </w:tblPr>
  </w:style>
  <w:style w:type="table" w:styleId="36" w:customStyle="1">
    <w:name w:val="36"/>
    <w:basedOn w:val="TableNormal8"/>
    <w:tblPr>
      <w:tblStyleRowBandSize w:val="1"/>
      <w:tblStyleColBandSize w:val="1"/>
      <w:tblCellMar>
        <w:top w:w="41.0" w:type="dxa"/>
        <w:left w:w="827.0" w:type="dxa"/>
        <w:right w:w="115.0" w:type="dxa"/>
      </w:tblCellMar>
    </w:tblPr>
  </w:style>
  <w:style w:type="table" w:styleId="35" w:customStyle="1">
    <w:name w:val="35"/>
    <w:basedOn w:val="TableNormal10"/>
    <w:tblPr>
      <w:tblStyleRowBandSize w:val="1"/>
      <w:tblStyleColBandSize w:val="1"/>
      <w:tblCellMar>
        <w:top w:w="41.0" w:type="dxa"/>
        <w:left w:w="827.0" w:type="dxa"/>
        <w:right w:w="115.0" w:type="dxa"/>
      </w:tblCellMar>
    </w:tblPr>
  </w:style>
  <w:style w:type="table" w:styleId="34" w:customStyle="1">
    <w:name w:val="34"/>
    <w:basedOn w:val="TableNormal10"/>
    <w:tblPr>
      <w:tblStyleRowBandSize w:val="1"/>
      <w:tblStyleColBandSize w:val="1"/>
      <w:tblCellMar>
        <w:top w:w="41.0" w:type="dxa"/>
        <w:left w:w="827.0" w:type="dxa"/>
        <w:right w:w="115.0" w:type="dxa"/>
      </w:tblCellMar>
    </w:tblPr>
  </w:style>
  <w:style w:type="table" w:styleId="33" w:customStyle="1">
    <w:name w:val="33"/>
    <w:basedOn w:val="TableNormal10"/>
    <w:tblPr>
      <w:tblStyleRowBandSize w:val="1"/>
      <w:tblStyleColBandSize w:val="1"/>
      <w:tblCellMar>
        <w:top w:w="41.0" w:type="dxa"/>
        <w:left w:w="827.0" w:type="dxa"/>
        <w:right w:w="115.0" w:type="dxa"/>
      </w:tblCellMar>
    </w:tblPr>
  </w:style>
  <w:style w:type="table" w:styleId="32" w:customStyle="1">
    <w:name w:val="32"/>
    <w:basedOn w:val="TableNormal10"/>
    <w:tblPr>
      <w:tblStyleRowBandSize w:val="1"/>
      <w:tblStyleColBandSize w:val="1"/>
      <w:tblCellMar>
        <w:top w:w="41.0" w:type="dxa"/>
        <w:left w:w="827.0" w:type="dxa"/>
        <w:right w:w="115.0" w:type="dxa"/>
      </w:tblCellMar>
    </w:tblPr>
  </w:style>
  <w:style w:type="table" w:styleId="31" w:customStyle="1">
    <w:name w:val="31"/>
    <w:basedOn w:val="TableNormal10"/>
    <w:tblPr>
      <w:tblStyleRowBandSize w:val="1"/>
      <w:tblStyleColBandSize w:val="1"/>
      <w:tblCellMar>
        <w:top w:w="41.0" w:type="dxa"/>
        <w:left w:w="827.0" w:type="dxa"/>
        <w:right w:w="115.0" w:type="dxa"/>
      </w:tblCellMar>
    </w:tblPr>
  </w:style>
  <w:style w:type="table" w:styleId="30" w:customStyle="1">
    <w:name w:val="30"/>
    <w:basedOn w:val="TableNormal10"/>
    <w:tblPr>
      <w:tblStyleRowBandSize w:val="1"/>
      <w:tblStyleColBandSize w:val="1"/>
      <w:tblCellMar>
        <w:top w:w="41.0" w:type="dxa"/>
        <w:left w:w="827.0" w:type="dxa"/>
        <w:right w:w="115.0" w:type="dxa"/>
      </w:tblCellMar>
    </w:tblPr>
  </w:style>
  <w:style w:type="table" w:styleId="29" w:customStyle="1">
    <w:name w:val="29"/>
    <w:basedOn w:val="TableNormal10"/>
    <w:tblPr>
      <w:tblStyleRowBandSize w:val="1"/>
      <w:tblStyleColBandSize w:val="1"/>
      <w:tblCellMar>
        <w:top w:w="41.0" w:type="dxa"/>
        <w:left w:w="827.0" w:type="dxa"/>
        <w:right w:w="115.0" w:type="dxa"/>
      </w:tblCellMar>
    </w:tblPr>
  </w:style>
  <w:style w:type="table" w:styleId="28" w:customStyle="1">
    <w:name w:val="28"/>
    <w:basedOn w:val="TableNormal10"/>
    <w:tblPr>
      <w:tblStyleRowBandSize w:val="1"/>
      <w:tblStyleColBandSize w:val="1"/>
      <w:tblCellMar>
        <w:top w:w="41.0" w:type="dxa"/>
        <w:left w:w="827.0" w:type="dxa"/>
        <w:right w:w="115.0" w:type="dxa"/>
      </w:tblCellMar>
    </w:tblPr>
  </w:style>
  <w:style w:type="table" w:styleId="27" w:customStyle="1">
    <w:name w:val="27"/>
    <w:basedOn w:val="TableNormal10"/>
    <w:tblPr>
      <w:tblStyleRowBandSize w:val="1"/>
      <w:tblStyleColBandSize w:val="1"/>
      <w:tblCellMar>
        <w:top w:w="41.0" w:type="dxa"/>
        <w:left w:w="827.0" w:type="dxa"/>
        <w:right w:w="115.0" w:type="dxa"/>
      </w:tblCellMar>
    </w:tblPr>
  </w:style>
  <w:style w:type="table" w:styleId="26" w:customStyle="1">
    <w:name w:val="26"/>
    <w:basedOn w:val="TableNormal10"/>
    <w:tblPr>
      <w:tblStyleRowBandSize w:val="1"/>
      <w:tblStyleColBandSize w:val="1"/>
      <w:tblCellMar>
        <w:top w:w="41.0" w:type="dxa"/>
        <w:left w:w="827.0" w:type="dxa"/>
        <w:right w:w="115.0" w:type="dxa"/>
      </w:tblCellMar>
    </w:tblPr>
  </w:style>
  <w:style w:type="table" w:styleId="25" w:customStyle="1">
    <w:name w:val="25"/>
    <w:basedOn w:val="TableNormal10"/>
    <w:tblPr>
      <w:tblStyleRowBandSize w:val="1"/>
      <w:tblStyleColBandSize w:val="1"/>
      <w:tblCellMar>
        <w:top w:w="41.0" w:type="dxa"/>
        <w:left w:w="827.0" w:type="dxa"/>
        <w:right w:w="115.0" w:type="dxa"/>
      </w:tblCellMar>
    </w:tblPr>
  </w:style>
  <w:style w:type="table" w:styleId="24" w:customStyle="1">
    <w:name w:val="24"/>
    <w:basedOn w:val="TableNormal10"/>
    <w:tblPr>
      <w:tblStyleRowBandSize w:val="1"/>
      <w:tblStyleColBandSize w:val="1"/>
      <w:tblCellMar>
        <w:top w:w="41.0" w:type="dxa"/>
        <w:left w:w="827.0" w:type="dxa"/>
        <w:right w:w="115.0" w:type="dxa"/>
      </w:tblCellMar>
    </w:tblPr>
  </w:style>
  <w:style w:type="table" w:styleId="23" w:customStyle="1">
    <w:name w:val="23"/>
    <w:basedOn w:val="TableNormal10"/>
    <w:tblPr>
      <w:tblStyleRowBandSize w:val="1"/>
      <w:tblStyleColBandSize w:val="1"/>
      <w:tblCellMar>
        <w:top w:w="41.0" w:type="dxa"/>
        <w:left w:w="827.0" w:type="dxa"/>
        <w:right w:w="115.0" w:type="dxa"/>
      </w:tblCellMar>
    </w:tblPr>
  </w:style>
  <w:style w:type="table" w:styleId="22" w:customStyle="1">
    <w:name w:val="22"/>
    <w:basedOn w:val="TableNormal10"/>
    <w:tblPr>
      <w:tblStyleRowBandSize w:val="1"/>
      <w:tblStyleColBandSize w:val="1"/>
      <w:tblCellMar>
        <w:top w:w="41.0" w:type="dxa"/>
        <w:left w:w="827.0" w:type="dxa"/>
        <w:right w:w="115.0" w:type="dxa"/>
      </w:tblCellMar>
    </w:tblPr>
  </w:style>
  <w:style w:type="table" w:styleId="21" w:customStyle="1">
    <w:name w:val="21"/>
    <w:basedOn w:val="TableNormal10"/>
    <w:tblPr>
      <w:tblStyleRowBandSize w:val="1"/>
      <w:tblStyleColBandSize w:val="1"/>
      <w:tblCellMar>
        <w:top w:w="41.0" w:type="dxa"/>
        <w:left w:w="827.0" w:type="dxa"/>
        <w:right w:w="115.0" w:type="dxa"/>
      </w:tblCellMar>
    </w:tblPr>
  </w:style>
  <w:style w:type="table" w:styleId="20" w:customStyle="1">
    <w:name w:val="20"/>
    <w:basedOn w:val="TableNormal10"/>
    <w:tblPr>
      <w:tblStyleRowBandSize w:val="1"/>
      <w:tblStyleColBandSize w:val="1"/>
      <w:tblCellMar>
        <w:top w:w="41.0" w:type="dxa"/>
        <w:left w:w="827.0" w:type="dxa"/>
        <w:right w:w="115.0" w:type="dxa"/>
      </w:tblCellMar>
    </w:tblPr>
  </w:style>
  <w:style w:type="table" w:styleId="19" w:customStyle="1">
    <w:name w:val="19"/>
    <w:basedOn w:val="TableNormal10"/>
    <w:tblPr>
      <w:tblStyleRowBandSize w:val="1"/>
      <w:tblStyleColBandSize w:val="1"/>
      <w:tblCellMar>
        <w:top w:w="41.0" w:type="dxa"/>
        <w:left w:w="827.0" w:type="dxa"/>
        <w:right w:w="115.0" w:type="dxa"/>
      </w:tblCellMar>
    </w:tblPr>
  </w:style>
  <w:style w:type="table" w:styleId="18" w:customStyle="1">
    <w:name w:val="18"/>
    <w:basedOn w:val="TableNormal10"/>
    <w:tblPr>
      <w:tblStyleRowBandSize w:val="1"/>
      <w:tblStyleColBandSize w:val="1"/>
      <w:tblCellMar>
        <w:top w:w="41.0" w:type="dxa"/>
        <w:left w:w="827.0" w:type="dxa"/>
        <w:right w:w="115.0" w:type="dxa"/>
      </w:tblCellMar>
    </w:tblPr>
  </w:style>
  <w:style w:type="table" w:styleId="17" w:customStyle="1">
    <w:name w:val="17"/>
    <w:basedOn w:val="TableNormal10"/>
    <w:tblPr>
      <w:tblStyleRowBandSize w:val="1"/>
      <w:tblStyleColBandSize w:val="1"/>
      <w:tblCellMar>
        <w:top w:w="41.0" w:type="dxa"/>
        <w:left w:w="827.0" w:type="dxa"/>
        <w:right w:w="115.0" w:type="dxa"/>
      </w:tblCellMar>
    </w:tblPr>
  </w:style>
  <w:style w:type="table" w:styleId="16" w:customStyle="1">
    <w:name w:val="16"/>
    <w:basedOn w:val="TableNormal10"/>
    <w:tblPr>
      <w:tblStyleRowBandSize w:val="1"/>
      <w:tblStyleColBandSize w:val="1"/>
      <w:tblCellMar>
        <w:top w:w="41.0" w:type="dxa"/>
        <w:left w:w="827.0" w:type="dxa"/>
        <w:right w:w="115.0" w:type="dxa"/>
      </w:tblCellMar>
    </w:tblPr>
  </w:style>
  <w:style w:type="table" w:styleId="15" w:customStyle="1">
    <w:name w:val="15"/>
    <w:basedOn w:val="TableNormal10"/>
    <w:tblPr>
      <w:tblStyleRowBandSize w:val="1"/>
      <w:tblStyleColBandSize w:val="1"/>
      <w:tblCellMar>
        <w:top w:w="41.0" w:type="dxa"/>
        <w:left w:w="827.0" w:type="dxa"/>
        <w:right w:w="115.0" w:type="dxa"/>
      </w:tblCellMar>
    </w:tblPr>
  </w:style>
  <w:style w:type="table" w:styleId="14" w:customStyle="1">
    <w:name w:val="14"/>
    <w:basedOn w:val="TableNormal10"/>
    <w:tblPr>
      <w:tblStyleRowBandSize w:val="1"/>
      <w:tblStyleColBandSize w:val="1"/>
      <w:tblCellMar>
        <w:top w:w="41.0" w:type="dxa"/>
        <w:left w:w="827.0" w:type="dxa"/>
        <w:right w:w="115.0" w:type="dxa"/>
      </w:tblCellMar>
    </w:tblPr>
  </w:style>
  <w:style w:type="table" w:styleId="13" w:customStyle="1">
    <w:name w:val="13"/>
    <w:basedOn w:val="TableNormal10"/>
    <w:tblPr>
      <w:tblStyleRowBandSize w:val="1"/>
      <w:tblStyleColBandSize w:val="1"/>
      <w:tblCellMar>
        <w:top w:w="41.0" w:type="dxa"/>
        <w:left w:w="827.0" w:type="dxa"/>
        <w:right w:w="115.0" w:type="dxa"/>
      </w:tblCellMar>
    </w:tblPr>
  </w:style>
  <w:style w:type="table" w:styleId="12" w:customStyle="1">
    <w:name w:val="12"/>
    <w:basedOn w:val="TableNormal10"/>
    <w:tblPr>
      <w:tblStyleRowBandSize w:val="1"/>
      <w:tblStyleColBandSize w:val="1"/>
      <w:tblCellMar>
        <w:top w:w="41.0" w:type="dxa"/>
        <w:left w:w="827.0" w:type="dxa"/>
        <w:right w:w="115.0" w:type="dxa"/>
      </w:tblCellMar>
    </w:tblPr>
  </w:style>
  <w:style w:type="table" w:styleId="11" w:customStyle="1">
    <w:name w:val="11"/>
    <w:basedOn w:val="TableNormal10"/>
    <w:tblPr>
      <w:tblStyleRowBandSize w:val="1"/>
      <w:tblStyleColBandSize w:val="1"/>
      <w:tblCellMar>
        <w:top w:w="41.0" w:type="dxa"/>
        <w:left w:w="827.0" w:type="dxa"/>
        <w:right w:w="115.0" w:type="dxa"/>
      </w:tblCellMar>
    </w:tblPr>
  </w:style>
  <w:style w:type="table" w:styleId="10" w:customStyle="1">
    <w:name w:val="10"/>
    <w:basedOn w:val="TableNormal10"/>
    <w:tblPr>
      <w:tblStyleRowBandSize w:val="1"/>
      <w:tblStyleColBandSize w:val="1"/>
      <w:tblCellMar>
        <w:top w:w="41.0" w:type="dxa"/>
        <w:left w:w="827.0" w:type="dxa"/>
        <w:right w:w="115.0" w:type="dxa"/>
      </w:tblCellMar>
    </w:tblPr>
  </w:style>
  <w:style w:type="table" w:styleId="9" w:customStyle="1">
    <w:name w:val="9"/>
    <w:basedOn w:val="TableNormal10"/>
    <w:tblPr>
      <w:tblStyleRowBandSize w:val="1"/>
      <w:tblStyleColBandSize w:val="1"/>
      <w:tblCellMar>
        <w:top w:w="41.0" w:type="dxa"/>
        <w:left w:w="827.0" w:type="dxa"/>
        <w:right w:w="115.0" w:type="dxa"/>
      </w:tblCellMar>
    </w:tblPr>
  </w:style>
  <w:style w:type="table" w:styleId="8" w:customStyle="1">
    <w:name w:val="8"/>
    <w:basedOn w:val="TableNormal10"/>
    <w:tblPr>
      <w:tblStyleRowBandSize w:val="1"/>
      <w:tblStyleColBandSize w:val="1"/>
      <w:tblCellMar>
        <w:top w:w="41.0" w:type="dxa"/>
        <w:left w:w="827.0" w:type="dxa"/>
        <w:right w:w="115.0" w:type="dxa"/>
      </w:tblCellMar>
    </w:tblPr>
  </w:style>
  <w:style w:type="table" w:styleId="7" w:customStyle="1">
    <w:name w:val="7"/>
    <w:basedOn w:val="TableNormal10"/>
    <w:tblPr>
      <w:tblStyleRowBandSize w:val="1"/>
      <w:tblStyleColBandSize w:val="1"/>
      <w:tblCellMar>
        <w:top w:w="41.0" w:type="dxa"/>
        <w:left w:w="827.0" w:type="dxa"/>
        <w:right w:w="115.0" w:type="dxa"/>
      </w:tblCellMar>
    </w:tblPr>
  </w:style>
  <w:style w:type="table" w:styleId="6" w:customStyle="1">
    <w:name w:val="6"/>
    <w:basedOn w:val="TableNormal10"/>
    <w:tblPr>
      <w:tblStyleRowBandSize w:val="1"/>
      <w:tblStyleColBandSize w:val="1"/>
      <w:tblCellMar>
        <w:top w:w="41.0" w:type="dxa"/>
        <w:left w:w="827.0" w:type="dxa"/>
        <w:right w:w="115.0" w:type="dxa"/>
      </w:tblCellMar>
    </w:tblPr>
  </w:style>
  <w:style w:type="table" w:styleId="5" w:customStyle="1">
    <w:name w:val="5"/>
    <w:basedOn w:val="TableNormal10"/>
    <w:tblPr>
      <w:tblStyleRowBandSize w:val="1"/>
      <w:tblStyleColBandSize w:val="1"/>
      <w:tblCellMar>
        <w:top w:w="41.0" w:type="dxa"/>
        <w:left w:w="827.0" w:type="dxa"/>
        <w:right w:w="115.0" w:type="dxa"/>
      </w:tblCellMar>
    </w:tblPr>
  </w:style>
  <w:style w:type="table" w:styleId="4" w:customStyle="1">
    <w:name w:val="4"/>
    <w:basedOn w:val="TableNormal10"/>
    <w:tblPr>
      <w:tblStyleRowBandSize w:val="1"/>
      <w:tblStyleColBandSize w:val="1"/>
      <w:tblCellMar>
        <w:top w:w="41.0" w:type="dxa"/>
        <w:left w:w="827.0" w:type="dxa"/>
        <w:right w:w="115.0" w:type="dxa"/>
      </w:tblCellMar>
    </w:tblPr>
  </w:style>
  <w:style w:type="table" w:styleId="3" w:customStyle="1">
    <w:name w:val="3"/>
    <w:basedOn w:val="TableNormal10"/>
    <w:tblPr>
      <w:tblStyleRowBandSize w:val="1"/>
      <w:tblStyleColBandSize w:val="1"/>
      <w:tblCellMar>
        <w:top w:w="41.0" w:type="dxa"/>
        <w:left w:w="827.0" w:type="dxa"/>
        <w:right w:w="115.0" w:type="dxa"/>
      </w:tblCellMar>
    </w:tblPr>
  </w:style>
  <w:style w:type="table" w:styleId="2" w:customStyle="1">
    <w:name w:val="2"/>
    <w:basedOn w:val="TableNormal10"/>
    <w:tblPr>
      <w:tblStyleRowBandSize w:val="1"/>
      <w:tblStyleColBandSize w:val="1"/>
      <w:tblCellMar>
        <w:top w:w="41.0" w:type="dxa"/>
        <w:left w:w="827.0" w:type="dxa"/>
        <w:right w:w="115.0" w:type="dxa"/>
      </w:tblCellMar>
    </w:tblPr>
  </w:style>
  <w:style w:type="table" w:styleId="1" w:customStyle="1">
    <w:name w:val="1"/>
    <w:basedOn w:val="TableNormal10"/>
    <w:tblPr>
      <w:tblStyleRowBandSize w:val="1"/>
      <w:tblStyleColBandSize w:val="1"/>
      <w:tblCellMar>
        <w:top w:w="41.0" w:type="dxa"/>
        <w:left w:w="827.0" w:type="dxa"/>
        <w:right w:w="115.0" w:type="dxa"/>
      </w:tblCellMar>
    </w:tblPr>
  </w:style>
  <w:style w:type="character" w:styleId="Hipervnculovisitado">
    <w:name w:val="FollowedHyperlink"/>
    <w:basedOn w:val="Fuentedeprrafopredeter"/>
    <w:uiPriority w:val="99"/>
    <w:semiHidden w:val="1"/>
    <w:unhideWhenUsed w:val="1"/>
    <w:rsid w:val="00357DFE"/>
    <w:rPr>
      <w:color w:val="954f72" w:themeColor="followedHyperlink"/>
      <w:u w:val="single"/>
    </w:rPr>
  </w:style>
  <w:style w:type="character" w:styleId="textrun" w:customStyle="1">
    <w:name w:val="textrun"/>
    <w:basedOn w:val="Fuentedeprrafopredeter"/>
    <w:rsid w:val="00F40E1D"/>
  </w:style>
  <w:style w:type="character" w:styleId="normaltextrun" w:customStyle="1">
    <w:name w:val="normaltextrun"/>
    <w:basedOn w:val="Fuentedeprrafopredeter"/>
    <w:rsid w:val="00F40E1D"/>
  </w:style>
  <w:style w:type="character" w:styleId="eop" w:customStyle="1">
    <w:name w:val="eop"/>
    <w:basedOn w:val="Fuentedeprrafopredeter"/>
    <w:rsid w:val="00F40E1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forms.office.com/pages/responsepage.aspx?id=_xYjsTX3ekucf4l6OxS9iGEW2adc6DJLpxr98E1Vvh5UMzZZSzEyMzFaWkJJSks0MDE0QlUxMVZPNy4u" TargetMode="External"/><Relationship Id="rId10" Type="http://schemas.openxmlformats.org/officeDocument/2006/relationships/hyperlink" Target="https://diario-puntual.com.mx/presenta-codhem-micrositio-de-transparencia-proactiva/" TargetMode="External"/><Relationship Id="rId13" Type="http://schemas.openxmlformats.org/officeDocument/2006/relationships/hyperlink" Target="https://www.codhem.org.mx/wp-content/uploads/2023/05/data-1.xlsx" TargetMode="External"/><Relationship Id="rId12" Type="http://schemas.openxmlformats.org/officeDocument/2006/relationships/hyperlink" Target="https://forms.office.com/pages/responsepage.aspx?id=_xYjsTX3ekucf4l6OxS9iGEW2adc6DJLpxr98E1Vvh5UMzZZSzEyMzFaWkJJSks0MDE0QlUxMVZPNy4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sucede.com.mx/presenta-codhem-micrositio-de-transparencia-proactiva/" TargetMode="External"/><Relationship Id="rId15" Type="http://schemas.openxmlformats.org/officeDocument/2006/relationships/header" Target="header1.xml"/><Relationship Id="rId14" Type="http://schemas.openxmlformats.org/officeDocument/2006/relationships/hyperlink" Target="https://www.codhem.org.mx/wp-content/uploads/2023/05/data.cs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dhem.org.mx/transparencia-proactiva/" TargetMode="External"/><Relationship Id="rId8" Type="http://schemas.openxmlformats.org/officeDocument/2006/relationships/hyperlink" Target="https://www.milenio.com/estados/micrositio-transparencia-proactiva-de-codh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b15XErvPfUUbZuDuobNmKUQxWQ==">CgMxLjAyCGguZ2pkZ3hzMgloLjFmb2I5dGUyDmgud3I0cjZqb2l3MnA5Mg5oLnJmcW91bmxqbXowdDIOaC55NzJwaGE4MWQxMXIyDmguaHB4NDZlMWRlOG12Mg5oLnYzcnU1aTkxMGZjeDIJaC4zem55c2g3MgloLjMwajB6bGw4AHIhMUZyTy1tT2tkZnY2RmVWS1R6MS1OMTI3NzVfZFRxR0RW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2024-06-28T20:44:00Z</dcterms:created>
  <dc:creator>Jonathan Guillermo Munoz Acevedo</dc:creator>
</cp:coreProperties>
</file>