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Justicia Cívica</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Secretariado Ejecutivo del Sistema Estatal de Seguridad Pública</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Poder Ejecutivo (Órgano Desconcentrado)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Centro de Prevención del Delito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Dr. José Antonio Hernández Salinas</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R. La práctica surgió en el año 2024 y se encuentra vigente.</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R. El objetivo de la práctica es dar a conocer entre la ciudadanía y los servidores(as) públicos(as) municipales del Estado de México, los principales elementos, funcionamiento, normatividad y requisitos para transitar al Modelo Homologado de Justicia Cívica, de una manera clara, ordenada y dirigida a las necesidades específicas de ambos sectores de la sociedad.</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R. La práctica consiste en un micrositio web en el que se presentan, de manera organizada, los diferentes elementos que conforman el Modelo Homologado de Justicia Cívica. Esta información se presenta de manera separada, por un lado, con temas de interés para la ciudadanía en general, y por el otro dirigida a servidores(as) públicos(as) municipales, con información sobre los aspectos que deben considerarse para que un municipio transite al Modelo.</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R. </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Información dirigida a la ciudadanía en general:</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Definición, objetivo y antecedentes de la Justicia Cívica</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Categorías y ejemplos de infracciones y sanciones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Conflictos comunitarios, tamizaje y policía in situ.</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Elementos del procedimiento ordinario y procedimiento por queja.</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Procedimiento para que la ciudadanía acceda a la Justicia Cívica.</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Información dirigida a servidores(as) públicos(as):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Adecuaciones necesarias para la normatividad.</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con el que se debe contar en el Juzgado Cívico.</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Infraestructura necesaria en el Juzgado Cívico para el funcionamiento del Modelo.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Características que deben cumplir las audiencias públicas.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Proceso de resolución y seguimiento de personas infractoras.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Características que deben cumplir los sistemas de registro de información del Juzgado Cívico.</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Características de la Modalidad Itinerante.</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Enlaces de interés: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Protocolos de actuación.</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Ley de Justicia Cívica del Estado de México y sus Municipios.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Estándares de Competencia.</w:t>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Evaluación de satisfacción y medios de contacto con el Centro de Prevención del Delito.</w:t>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R. La práctica surge de la necesidad que presentan las y los servidores públicos municipales de la entidad, derivado de la publicación de la Ley de Justicia Cívica del Estado de México y sus Municipios, con la finalidad de adecuar el funcionamiento de sus juzgados cívicos al Modelo Homologado. Asimismo, de la importancia de que la ciudadanía conozca la Justicia Cívica y sus beneficios en la prevención del escalamiento de los conflictos comunitarios a situaciones de violencia o comisión de delitos.</w:t>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R. A partir de la publicación del micrositio, tanto los servidores(as) públicos(as) municipales como la ciudadanía en general, tienen a su alcance la información sobre las características y elementos de la Justicia Cívica necesarios para llevarla a la práctica de manera adecuada. Asimismo, esto facilita la transición de los municipios al Modelo Homologado, impulsando así la adopción de medidas de prevención que evitan que los conflictos comunitarios deriven en conductas violentas o delictivas, fomentando la cultura de la paz.</w:t>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1"/>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1">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5">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6">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7">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8">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ind w:left="164"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ind w:left="272"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ind w:left="581"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ind w:left="581" w:firstLine="0"/>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La información publicada se encuentra organizada de tal forma que el usuario, ya sea un ciudadano o un servidor o servidora pública, pueda encontrar de manera rápida los temas que sean de su interés, pues se cuenta con una sección dirigida a la ciudadanía en general donde los temas se exponen con un lenguaje claro y sencillo, de forma tal que sea accesible y fácil de leer para la mayor parte de la población. Por otro lado, mejora el acceso a trámites o servicios ya que proporciona información dirigida a la ciudadanía sobre cómo acceder a los servicios que deben proporcionar los juzgados cívicos. Por último, optimiza la toma de decisiones porque brinda las herramientas necesarias para conocer los elementos de la justicia cívica, los procedimientos, así como enlaces a documentos externos de utilidad para la transición al Modelo Homologado.</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5">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E">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3">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8">
            <w:pPr>
              <w:ind w:left="-566" w:firstLine="0"/>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A">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D">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F">
            <w:pPr>
              <w:rPr>
                <w:rFonts w:ascii="Arial" w:cs="Arial" w:eastAsia="Arial" w:hAnsi="Arial"/>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La información está dirigida, por una parte, a la ciudadanía en general, y por el otro, a servidores(as) públicos(as) con la necesidad de conocer las características del Modelo Homologado de Justicia Cívica para llevar a cabo las adecuaciones necesarias para que su municipio transite al mismo.</w:t>
            </w:r>
          </w:p>
        </w:tc>
      </w:tr>
    </w:tbl>
    <w:p w:rsidR="00000000" w:rsidDel="00000000" w:rsidP="00000000" w:rsidRDefault="00000000" w:rsidRPr="00000000" w14:paraId="00000077">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8">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D">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7">
            <w:pPr>
              <w:ind w:left="-566" w:firstLine="0"/>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1">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Se incluyó en el micrositio una sección destinada a la evaluación de satisfacción, así como los medios de contacto para realizar cualquier sugerencia o solventar cualquier duda, con lo que se pretende realizar adecuaciones al micrositio para adaptarse a las necesidades de los usuarios.</w:t>
            </w:r>
          </w:p>
        </w:tc>
      </w:tr>
    </w:tbl>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C">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ind w:left="-765"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Se atiende la necesidad de conocer el funcionamiento al que se deben apegar los Juzgados Cívicos según lo establecido en la Ley de Justicia Cívica del Estado de México y sus Municipios, así como los procedimientos y servicios a los que puede acceder la ciudadanía.</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2">
            <w:pPr>
              <w:rPr>
                <w:rFonts w:ascii="Arial" w:cs="Arial" w:eastAsia="Arial" w:hAnsi="Arial"/>
              </w:rPr>
            </w:pPr>
            <w:r w:rsidDel="00000000" w:rsidR="00000000" w:rsidRPr="00000000">
              <w:rPr>
                <w:rtl w:val="0"/>
              </w:rPr>
            </w:r>
          </w:p>
        </w:tc>
      </w:tr>
    </w:tbl>
    <w:p w:rsidR="00000000" w:rsidDel="00000000" w:rsidP="00000000" w:rsidRDefault="00000000" w:rsidRPr="00000000" w14:paraId="000000B5">
      <w:pPr>
        <w:rPr>
          <w:rFonts w:ascii="Arial" w:cs="Arial" w:eastAsia="Arial" w:hAnsi="Arial"/>
        </w:rPr>
      </w:pPr>
      <w:bookmarkStart w:colFirst="0" w:colLast="0" w:name="_heading=h.1fob9te" w:id="0"/>
      <w:bookmarkEnd w:id="0"/>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6">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A">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ind w:left="589" w:firstLine="0"/>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La información se deriva de la transferencia de conocimiento que se llevó a cabo durante los años precedentes entre el Centro de Prevención del Delito y otros actores públicos y privados en materia de Justicia Cívica. Además de Protocolos y Estándares, los cuales pueden son visibles en la página electrónica de Justicia Cívica:</w:t>
            </w:r>
          </w:p>
          <w:p w:rsidR="00000000" w:rsidDel="00000000" w:rsidP="00000000" w:rsidRDefault="00000000" w:rsidRPr="00000000" w14:paraId="000000C3">
            <w:pPr>
              <w:rPr>
                <w:rFonts w:ascii="Arial" w:cs="Arial" w:eastAsia="Arial" w:hAnsi="Arial"/>
              </w:rPr>
            </w:pPr>
            <w:hyperlink r:id="rId7">
              <w:r w:rsidDel="00000000" w:rsidR="00000000" w:rsidRPr="00000000">
                <w:rPr>
                  <w:rFonts w:ascii="Arial" w:cs="Arial" w:eastAsia="Arial" w:hAnsi="Arial"/>
                  <w:color w:val="0563c1"/>
                  <w:u w:val="single"/>
                  <w:rtl w:val="0"/>
                </w:rPr>
                <w:t xml:space="preserve">https://sesespem.edomex.gob.mx/enlaces-interes-jc</w:t>
              </w:r>
            </w:hyperlink>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both"/>
              <w:rPr>
                <w:rFonts w:ascii="Arial" w:cs="Arial" w:eastAsia="Arial" w:hAnsi="Arial"/>
              </w:rPr>
            </w:pPr>
            <w:r w:rsidDel="00000000" w:rsidR="00000000" w:rsidRPr="00000000">
              <w:rPr>
                <w:rFonts w:ascii="Arial" w:cs="Arial" w:eastAsia="Arial" w:hAnsi="Arial"/>
                <w:rtl w:val="0"/>
              </w:rPr>
              <w:t xml:space="preserve">El micrositio tiene como población objetivo a los servidores(as) públicos(as) interesados en realizar las adecuaciones necesarias para que su municipio transite al Modelo Homologado de Justicia Cívica; por lo que, publicar esta información en un sitio web de manera organizada y dirigida a sus necesidades específicas, será adecuado para dicha población. Por otro lado, el micrositio también contiene una sección dirigida a la ciudadanía en general, misma que se expone con un lenguaje claro y sencillo, de forma tal que sea accesible y fácil de leer para la mayor parte de la población.</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Observaciones: Se utilizaron medios alternos como Facebook y la Plataforma X.</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0563c1"/>
                  <w:u w:val="single"/>
                  <w:rtl w:val="0"/>
                </w:rPr>
                <w:t xml:space="preserve">https://www.facebook.com/SecretariadoGEM/posts/pfbid0ciJwjfJkgeeFoMmhKWoHDgvNoGHP6kmjc1v85oE5wFQCSNmn8ebpfhDbGy1f1XMml</w:t>
              </w:r>
            </w:hyperlink>
            <w:r w:rsidDel="00000000" w:rsidR="00000000" w:rsidRPr="00000000">
              <w:rPr>
                <w:rtl w:val="0"/>
              </w:rPr>
            </w:r>
          </w:p>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rPr>
              <w:drawing>
                <wp:inline distB="0" distT="0" distL="0" distR="0">
                  <wp:extent cx="3371484" cy="4945590"/>
                  <wp:effectExtent b="0" l="0" r="0" t="0"/>
                  <wp:docPr id="213417719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371484" cy="494559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rPr>
                <w:rFonts w:ascii="Arial" w:cs="Arial" w:eastAsia="Arial" w:hAnsi="Arial"/>
              </w:rPr>
            </w:pPr>
            <w:hyperlink r:id="rId10">
              <w:r w:rsidDel="00000000" w:rsidR="00000000" w:rsidRPr="00000000">
                <w:rPr>
                  <w:rFonts w:ascii="Arial" w:cs="Arial" w:eastAsia="Arial" w:hAnsi="Arial"/>
                  <w:color w:val="0563c1"/>
                  <w:u w:val="single"/>
                  <w:rtl w:val="0"/>
                </w:rPr>
                <w:t xml:space="preserve">https://x.com/SecretariadoGEM/status/1791264306295607597</w:t>
              </w:r>
            </w:hyperlink>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Pr>
              <w:drawing>
                <wp:inline distB="0" distT="0" distL="0" distR="0">
                  <wp:extent cx="5583555" cy="5207000"/>
                  <wp:effectExtent b="0" l="0" r="0" t="0"/>
                  <wp:docPr id="2134177200"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583555" cy="520700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tl w:val="0"/>
              </w:rPr>
            </w:r>
          </w:p>
        </w:tc>
      </w:tr>
    </w:tbl>
    <w:p w:rsidR="00000000" w:rsidDel="00000000" w:rsidP="00000000" w:rsidRDefault="00000000" w:rsidRPr="00000000" w14:paraId="000000F0">
      <w:pPr>
        <w:rPr>
          <w:rFonts w:ascii="Arial" w:cs="Arial" w:eastAsia="Arial" w:hAnsi="Arial"/>
        </w:rPr>
      </w:pPr>
      <w:r w:rsidDel="00000000" w:rsidR="00000000" w:rsidRPr="00000000">
        <w:rPr>
          <w:rtl w:val="0"/>
        </w:rPr>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ind w:left="-797"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jc w:val="both"/>
              <w:rPr>
                <w:rFonts w:ascii="Arial" w:cs="Arial" w:eastAsia="Arial" w:hAnsi="Arial"/>
              </w:rPr>
            </w:pPr>
            <w:r w:rsidDel="00000000" w:rsidR="00000000" w:rsidRPr="00000000">
              <w:rPr>
                <w:rFonts w:ascii="Arial" w:cs="Arial" w:eastAsia="Arial" w:hAnsi="Arial"/>
                <w:rtl w:val="0"/>
              </w:rPr>
              <w:t xml:space="preserve">La información dirigida a la ciudadanía no requiere algún conocimiento técnico.</w:t>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Por otra parte, la información dirigida a las y los servidores públicos, que refiere a los procedimientos de justicia empleados en el juzgado cívico, así como de ordenamientos jurídicos y normativos, procesos de mediación y conciliación, entre otros, sí requieren tener al menos un panorama general de los temas de Justicia Cívica. </w:t>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3">
            <w:pPr>
              <w:rPr>
                <w:rFonts w:ascii="Arial" w:cs="Arial" w:eastAsia="Arial" w:hAnsi="Arial"/>
              </w:rPr>
            </w:pPr>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Arial" w:cs="Arial" w:eastAsia="Arial" w:hAnsi="Arial"/>
              </w:rPr>
            </w:pPr>
            <w:r w:rsidDel="00000000" w:rsidR="00000000" w:rsidRPr="00000000">
              <w:rPr>
                <w:rtl w:val="0"/>
              </w:rPr>
            </w:r>
          </w:p>
        </w:tc>
      </w:tr>
    </w:tbl>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ind w:left="-348"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Encuesta de satisfacción</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https://cservicios.ssedomex.gob.mx:4430/EvaluacionSatisfaccion/</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Se incluyó en el micrositio una sección destinada a la evaluación de satisfacción, así como los medios de contacto para realizar cualquier sugerencia o solventar cualquier duda, con lo que se pretende realizar adecuaciones al micrositio para adaptarse a las necesidades de los usuarios.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rFonts w:ascii="Arial" w:cs="Arial" w:eastAsia="Arial" w:hAnsi="Arial"/>
              </w:rPr>
            </w:pPr>
            <w:r w:rsidDel="00000000" w:rsidR="00000000" w:rsidRPr="00000000">
              <w:rPr>
                <w:rtl w:val="0"/>
              </w:rPr>
            </w:r>
          </w:p>
        </w:tc>
      </w:tr>
    </w:tbl>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 </w:t>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5">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ind w:left="-288" w:firstLine="0"/>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both"/>
              <w:rPr>
                <w:rFonts w:ascii="Arial" w:cs="Arial" w:eastAsia="Arial" w:hAnsi="Arial"/>
              </w:rPr>
            </w:pPr>
            <w:r w:rsidDel="00000000" w:rsidR="00000000" w:rsidRPr="00000000">
              <w:rPr>
                <w:rFonts w:ascii="Arial" w:cs="Arial" w:eastAsia="Arial" w:hAnsi="Arial"/>
                <w:rtl w:val="0"/>
              </w:rPr>
              <w:t xml:space="preserve"> Contador de visitas al sitio web</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4">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 https://sesespem.edomex.gob.mx/justicia-civica</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E">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both"/>
              <w:rPr>
                <w:rFonts w:ascii="Arial" w:cs="Arial" w:eastAsia="Arial" w:hAnsi="Arial"/>
              </w:rPr>
            </w:pPr>
            <w:r w:rsidDel="00000000" w:rsidR="00000000" w:rsidRPr="00000000">
              <w:rPr>
                <w:rFonts w:ascii="Arial" w:cs="Arial" w:eastAsia="Arial" w:hAnsi="Arial"/>
                <w:rtl w:val="0"/>
              </w:rPr>
              <w:t xml:space="preserve"> El contador de visitas es una herramienta tecnológica, que nos permite valorar el interés de la ciudadanía, así como las y los servidores públicos interesados en conocer la justicia cívica.</w:t>
            </w:r>
          </w:p>
        </w:tc>
      </w:tr>
    </w:tbl>
    <w:p w:rsidR="00000000" w:rsidDel="00000000" w:rsidP="00000000" w:rsidRDefault="00000000" w:rsidRPr="00000000" w14:paraId="00000158">
      <w:pPr>
        <w:rPr>
          <w:rFonts w:ascii="Arial" w:cs="Arial" w:eastAsia="Arial" w:hAnsi="Arial"/>
        </w:rPr>
      </w:pPr>
      <w:bookmarkStart w:colFirst="0" w:colLast="0" w:name="_heading=h.gjdgxs" w:id="1"/>
      <w:bookmarkEnd w:id="1"/>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9">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A">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ind w:left="-247" w:firstLine="0"/>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E">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Se cuenta con una encuesta de satisfacción que permitirá evaluar la calidad y claridad de la información presentada.</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8">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Evaluación de satisfacción</w:t>
            </w:r>
          </w:p>
          <w:p w:rsidR="00000000" w:rsidDel="00000000" w:rsidP="00000000" w:rsidRDefault="00000000" w:rsidRPr="00000000" w14:paraId="0000016E">
            <w:pPr>
              <w:rPr>
                <w:rFonts w:ascii="Arial" w:cs="Arial" w:eastAsia="Arial" w:hAnsi="Arial"/>
              </w:rPr>
            </w:pPr>
            <w:hyperlink r:id="rId12">
              <w:r w:rsidDel="00000000" w:rsidR="00000000" w:rsidRPr="00000000">
                <w:rPr>
                  <w:rFonts w:ascii="Arial" w:cs="Arial" w:eastAsia="Arial" w:hAnsi="Arial"/>
                  <w:color w:val="0563c1"/>
                  <w:u w:val="single"/>
                  <w:rtl w:val="0"/>
                </w:rPr>
                <w:t xml:space="preserve">https://sesespem.edomex.gob.mx/evaluacion-satisfaccion-jc</w:t>
              </w:r>
            </w:hyperlink>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rtl w:val="0"/>
              </w:rPr>
              <w:t xml:space="preserve">Se incluyó en el micrositio una sección destinada a la evaluación de satisfacción, así como los medios de contacto para realizar cualquier sugerencia o solventar cualquier duda, con lo que se pretende realizar adecuaciones al micrositio para adaptarse a las necesidades de los usuarios: </w:t>
            </w:r>
            <w:hyperlink r:id="rId13">
              <w:r w:rsidDel="00000000" w:rsidR="00000000" w:rsidRPr="00000000">
                <w:rPr>
                  <w:rFonts w:ascii="Arial" w:cs="Arial" w:eastAsia="Arial" w:hAnsi="Arial"/>
                  <w:color w:val="0563c1"/>
                  <w:u w:val="single"/>
                  <w:rtl w:val="0"/>
                </w:rPr>
                <w:t xml:space="preserve">https://sesespem.edomex.gob.mx/contactanos-jc</w:t>
              </w:r>
            </w:hyperlink>
            <w:r w:rsidDel="00000000" w:rsidR="00000000" w:rsidRPr="00000000">
              <w:rPr>
                <w:rtl w:val="0"/>
              </w:rPr>
            </w:r>
          </w:p>
        </w:tc>
      </w:tr>
    </w:tbl>
    <w:p w:rsidR="00000000" w:rsidDel="00000000" w:rsidP="00000000" w:rsidRDefault="00000000" w:rsidRPr="00000000" w14:paraId="0000017D">
      <w:pPr>
        <w:rPr>
          <w:rFonts w:ascii="Arial" w:cs="Arial" w:eastAsia="Arial" w:hAnsi="Arial"/>
        </w:rPr>
      </w:pPr>
      <w:bookmarkStart w:colFirst="0" w:colLast="0" w:name="_heading=h.30j0zll" w:id="2"/>
      <w:bookmarkEnd w:id="2"/>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E">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 https://sesespem.edomex.gob.mx/justicia-civica</w:t>
            </w:r>
          </w:p>
        </w:tc>
      </w:tr>
    </w:tbl>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82">
      <w:pPr>
        <w:rPr>
          <w:rFonts w:ascii="Arial" w:cs="Arial" w:eastAsia="Arial" w:hAnsi="Arial"/>
        </w:rPr>
      </w:pPr>
      <w:r w:rsidDel="00000000" w:rsidR="00000000" w:rsidRPr="00000000">
        <w:rPr>
          <w:rtl w:val="0"/>
        </w:rPr>
      </w:r>
    </w:p>
    <w:sectPr>
      <w:headerReference r:id="rId14" w:type="default"/>
      <w:footerReference r:id="rId15"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tabs>
        <w:tab w:val="center" w:leader="none" w:pos="4419"/>
        <w:tab w:val="right" w:leader="none" w:pos="8838"/>
      </w:tabs>
      <w:ind w:left="-425" w:hanging="72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FA353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x.com/SecretariadoGEM/status/1791264306295607597" TargetMode="External"/><Relationship Id="rId13" Type="http://schemas.openxmlformats.org/officeDocument/2006/relationships/hyperlink" Target="https://sesespem.edomex.gob.mx/contactanos-jc" TargetMode="External"/><Relationship Id="rId12" Type="http://schemas.openxmlformats.org/officeDocument/2006/relationships/hyperlink" Target="https://sesespem.edomex.gob.mx/evaluacion-satisfaccion-j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sespem.edomex.gob.mx/enlaces-interes-jc" TargetMode="External"/><Relationship Id="rId8" Type="http://schemas.openxmlformats.org/officeDocument/2006/relationships/hyperlink" Target="https://www.facebook.com/SecretariadoGEM/posts/pfbid0ciJwjfJkgeeFoMmhKWoHDgvNoGHP6kmjc1v85oE5wFQCSNmn8ebpfhDbGy1f1XM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0RrMLfkTTr2lvTLT38jnkpQjag==">CgMxLjAyCWguMWZvYjl0ZTIIaC5namRneHMyCWguMzBqMHpsbDgAciExczVYaUlWUGpZX3g2WHJZSjBhVkRZYnhGOVhyU3hIbmg=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2024-05-14T00:16:00Z</dcterms:created>
  <dc:creator>Jonathan Guillermo Munoz Acevedo</dc:creator>
</cp:coreProperties>
</file>