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485"/>
        <w:gridCol w:w="4590"/>
        <w:tblGridChange w:id="0">
          <w:tblGrid>
            <w:gridCol w:w="4950"/>
            <w:gridCol w:w="4485"/>
            <w:gridCol w:w="4590"/>
          </w:tblGrid>
        </w:tblGridChange>
      </w:tblGrid>
      <w:tr>
        <w:trPr>
          <w:cantSplit w:val="0"/>
          <w:trHeight w:val="677.1104736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765272" cy="1692622"/>
                  <wp:effectExtent b="0" l="0" r="0" t="0"/>
                  <wp:docPr id="31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65272" cy="1692622"/>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Ayapango, tierra de ganaderos y queso</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Ayapango</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Información Pública</w:t>
            </w:r>
          </w:p>
        </w:tc>
      </w:tr>
      <w:tr>
        <w:trPr>
          <w:cantSplit w:val="0"/>
          <w:trHeight w:val="7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b w:val="1"/>
                  <w:color w:val="1155cc"/>
                  <w:u w:val="single"/>
                  <w:rtl w:val="0"/>
                </w:rPr>
                <w:t xml:space="preserve">https://quesos.ayapango.gob.mx/ubicacion.php</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39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3</w:t>
            </w:r>
            <w:r w:rsidDel="00000000" w:rsidR="00000000" w:rsidRPr="00000000">
              <w:rPr>
                <w:rFonts w:ascii="Palatino Linotype" w:cs="Palatino Linotype" w:eastAsia="Palatino Linotype" w:hAnsi="Palatino Linotype"/>
                <w:rtl w:val="0"/>
              </w:rPr>
              <w:t xml:space="preserve">4</w:t>
            </w:r>
            <w:r w:rsidDel="00000000" w:rsidR="00000000" w:rsidRPr="00000000">
              <w:rPr>
                <w:rtl w:val="0"/>
              </w:rPr>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donde se brinda información a la población sobre las diferentes actividades que se realizan referentes a la elaboración de lácteos y quesos en el municipio de Ayapango.</w:t>
            </w:r>
          </w:p>
        </w:tc>
      </w:tr>
      <w:tr>
        <w:trPr>
          <w:cantSplit w:val="0"/>
          <w:trHeight w:val="1265.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los productos lácteos y variedades de quesos que se elaboran en la región de Ayapango.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Porque es importante que la ciudadanía conozca las actividades económicas que se desarrollan en la región de los volcanes, delegación de Poxtla, municipio de Ayapango, y así mismo para impulsar la economía. </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logrado una mejor promoción de los productos de lácteos y quesos, así como un mayor número de ventas al difundir los establecimientos que venden  los diversos productos de lácteos. </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los atributos de calidad de la información, como: Accesible, Comprensible, Oportuna, Veraz, Congruente, Verificable, Completa y Actual, así como Datos abiertos, </w:t>
            </w:r>
            <w:r w:rsidDel="00000000" w:rsidR="00000000" w:rsidRPr="00000000">
              <w:rPr>
                <w:rFonts w:ascii="Palatino Linotype" w:cs="Palatino Linotype" w:eastAsia="Palatino Linotype" w:hAnsi="Palatino Linotype"/>
                <w:color w:val="1f1f1f"/>
                <w:rtl w:val="0"/>
              </w:rPr>
              <w:t xml:space="preserve">el </w:t>
            </w:r>
            <w:r w:rsidDel="00000000" w:rsidR="00000000" w:rsidRPr="00000000">
              <w:rPr>
                <w:rFonts w:ascii="Palatino Linotype" w:cs="Palatino Linotype" w:eastAsia="Palatino Linotype" w:hAnsi="Palatino Linotype"/>
                <w:color w:val="1f1f1f"/>
                <w:highlight w:val="white"/>
                <w:rtl w:val="0"/>
              </w:rPr>
              <w:t xml:space="preserve">aprovechamiento del registro de consultas y de  los mecanismos de participación ciudadana, así como la utilización de</w:t>
            </w:r>
            <w:r w:rsidDel="00000000" w:rsidR="00000000" w:rsidRPr="00000000">
              <w:rPr>
                <w:rFonts w:ascii="Palatino Linotype" w:cs="Palatino Linotype" w:eastAsia="Palatino Linotype" w:hAnsi="Palatino Linotype"/>
                <w:rtl w:val="0"/>
              </w:rPr>
              <w:t xml:space="preserve"> medios alternos de difusión.</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 </w:t>
            </w:r>
          </w:p>
          <w:p w:rsidR="00000000" w:rsidDel="00000000" w:rsidP="00000000" w:rsidRDefault="00000000" w:rsidRPr="00000000" w14:paraId="0000002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generar acercamientos con la población objetivo, para detectar las necesidades de información y subsanar las observaciones emitidas. </w:t>
            </w:r>
          </w:p>
        </w:tc>
      </w:tr>
    </w:tbl>
    <w:p w:rsidR="00000000" w:rsidDel="00000000" w:rsidP="00000000" w:rsidRDefault="00000000" w:rsidRPr="00000000" w14:paraId="0000002E">
      <w:pPr>
        <w:spacing w:after="0" w:line="240" w:lineRule="auto"/>
        <w:ind w:left="-708" w:firstLine="0"/>
        <w:jc w:val="left"/>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F">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28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1275"/>
            <w:gridCol w:w="3030"/>
            <w:gridCol w:w="4695"/>
            <w:tblGridChange w:id="0">
              <w:tblGrid>
                <w:gridCol w:w="5280"/>
                <w:gridCol w:w="1275"/>
                <w:gridCol w:w="3030"/>
                <w:gridCol w:w="469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29877" cy="328102"/>
                      <wp:effectExtent b="0" l="0" r="0" t="0"/>
                      <wp:docPr id="3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29877" cy="32810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857.13867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44077" cy="632355"/>
                      <wp:effectExtent b="0" l="0" r="0" t="0"/>
                      <wp:docPr id="31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44077" cy="63235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177.519531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19325" cy="1432560"/>
                      <wp:effectExtent b="0" l="0" r="0" t="0"/>
                      <wp:docPr id="317" name="image5.png"/>
                      <a:graphic>
                        <a:graphicData uri="http://schemas.openxmlformats.org/drawingml/2006/picture">
                          <pic:pic>
                            <pic:nvPicPr>
                              <pic:cNvPr id="0" name="image5.png"/>
                              <pic:cNvPicPr preferRelativeResize="0"/>
                            </pic:nvPicPr>
                            <pic:blipFill>
                              <a:blip r:embed="rId11"/>
                              <a:srcRect b="58105" l="0" r="0" t="0"/>
                              <a:stretch>
                                <a:fillRect/>
                              </a:stretch>
                            </pic:blipFill>
                            <pic:spPr>
                              <a:xfrm>
                                <a:off x="0" y="0"/>
                                <a:ext cx="2219325"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ind w:left="405"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impulso a la economía.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88180" cy="635623"/>
                      <wp:effectExtent b="0" l="0" r="0" t="0"/>
                      <wp:docPr id="31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88180" cy="63562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bl>
      </w:sdtContent>
    </w:sdt>
    <w:p w:rsidR="00000000" w:rsidDel="00000000" w:rsidP="00000000" w:rsidRDefault="00000000" w:rsidRPr="00000000" w14:paraId="000000AE">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F">
      <w:pPr>
        <w:spacing w:after="0" w:line="240" w:lineRule="auto"/>
        <w:ind w:left="-708" w:firstLine="0"/>
        <w:jc w:val="center"/>
        <w:rPr>
          <w:rFonts w:ascii="Palatino Linotype" w:cs="Palatino Linotype" w:eastAsia="Palatino Linotype" w:hAnsi="Palatino Linotype"/>
          <w:b w:val="1"/>
        </w:rPr>
      </w:pPr>
      <w:bookmarkStart w:colFirst="0" w:colLast="0" w:name="_heading=h.cith86vwflnb" w:id="4"/>
      <w:bookmarkEnd w:id="4"/>
      <w:r w:rsidDel="00000000" w:rsidR="00000000" w:rsidRPr="00000000">
        <w:rPr>
          <w:rtl w:val="0"/>
        </w:rPr>
      </w:r>
    </w:p>
    <w:p w:rsidR="00000000" w:rsidDel="00000000" w:rsidP="00000000" w:rsidRDefault="00000000" w:rsidRPr="00000000" w14:paraId="000000B0">
      <w:pPr>
        <w:jc w:val="both"/>
        <w:rPr>
          <w:rFonts w:ascii="Arial" w:cs="Arial" w:eastAsia="Arial" w:hAnsi="Arial"/>
        </w:rPr>
      </w:pPr>
      <w:bookmarkStart w:colFirst="0" w:colLast="0" w:name="_heading=h.1fob9te" w:id="5"/>
      <w:bookmarkEnd w:id="5"/>
      <w:r w:rsidDel="00000000" w:rsidR="00000000" w:rsidRPr="00000000">
        <w:rPr>
          <w:rtl w:val="0"/>
        </w:rPr>
      </w:r>
    </w:p>
    <w:p w:rsidR="00000000" w:rsidDel="00000000" w:rsidP="00000000" w:rsidRDefault="00000000" w:rsidRPr="00000000" w14:paraId="000000B1">
      <w:pPr>
        <w:jc w:val="both"/>
        <w:rPr>
          <w:rFonts w:ascii="Arial" w:cs="Arial" w:eastAsia="Arial" w:hAnsi="Arial"/>
        </w:rPr>
      </w:pPr>
      <w:r w:rsidDel="00000000" w:rsidR="00000000" w:rsidRPr="00000000">
        <w:rPr>
          <w:rtl w:val="0"/>
        </w:rPr>
      </w:r>
    </w:p>
    <w:sectPr>
      <w:headerReference r:id="rId13" w:type="default"/>
      <w:footerReference r:id="rId1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1" name="image4.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4.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-933444</wp:posOffset>
          </wp:positionH>
          <wp:positionV relativeFrom="paragraph">
            <wp:posOffset>-85720</wp:posOffset>
          </wp:positionV>
          <wp:extent cx="9906000" cy="7701597"/>
          <wp:effectExtent b="0" l="0" r="0" t="0"/>
          <wp:wrapNone/>
          <wp:docPr descr="Imagen que contiene Gráfico de superficie&#10;&#10;Descripción generada automáticamente" id="312" name="image6.png"/>
          <a:graphic>
            <a:graphicData uri="http://schemas.openxmlformats.org/drawingml/2006/picture">
              <pic:pic>
                <pic:nvPicPr>
                  <pic:cNvPr descr="Imagen que contiene Gráfico de superficie&#10;&#10;Descripción generada automáticamente" id="0" name="image6.png"/>
                  <pic:cNvPicPr preferRelativeResize="0"/>
                </pic:nvPicPr>
                <pic:blipFill>
                  <a:blip r:embed="rId2"/>
                  <a:srcRect b="0" l="0" r="0" t="0"/>
                  <a:stretch>
                    <a:fillRect/>
                  </a:stretch>
                </pic:blipFill>
                <pic:spPr>
                  <a:xfrm>
                    <a:off x="0" y="0"/>
                    <a:ext cx="9906000" cy="77015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s://quesos.ayapango.gob.mx/ubicacion.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RaQjBOLJpjiheTGWSvaT/rKICg==">CgMxLjAaHwoBMBIaChgICVIUChJ0YWJsZS5mZTMyb3oybmI1bnUyCWguMzBqMHpsbDINaC41N2o1N3JpOHUxNDIOaC55MmZkbmJvZnRoMjkyDmgudXllMDN6cjBuY211Mg5oLmNpdGg4NnZ3ZmxuYjIJaC4xZm9iOXRlOAByITFIZ2JyWlZxMk1HMkpadWMzVUE2akRTdGh4WjIwbVpuYw==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