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tabs>
          <w:tab w:val="center" w:leader="none" w:pos="4419"/>
          <w:tab w:val="right" w:leader="none" w:pos="8838"/>
        </w:tabs>
        <w:spacing w:after="0" w:line="240" w:lineRule="auto"/>
        <w:ind w:hanging="709"/>
        <w:jc w:val="center"/>
        <w:rPr>
          <w:rFonts w:ascii="Palatino Linotype" w:cs="Palatino Linotype" w:eastAsia="Palatino Linotype" w:hAnsi="Palatino Linotype"/>
        </w:rPr>
      </w:pPr>
      <w:r w:rsidDel="00000000" w:rsidR="00000000" w:rsidRPr="00000000">
        <w:rPr>
          <w:rFonts w:ascii="Palatino Linotype" w:cs="Palatino Linotype" w:eastAsia="Palatino Linotype" w:hAnsi="Palatino Linotype"/>
          <w:b w:val="1"/>
          <w:rtl w:val="0"/>
        </w:rPr>
        <w:t xml:space="preserve">FICHA TÉCNICA</w:t>
      </w:r>
      <w:r w:rsidDel="00000000" w:rsidR="00000000" w:rsidRPr="00000000">
        <w:rPr>
          <w:rtl w:val="0"/>
        </w:rPr>
      </w:r>
    </w:p>
    <w:tbl>
      <w:tblPr>
        <w:tblStyle w:val="Table1"/>
        <w:tblW w:w="13815.0" w:type="dxa"/>
        <w:jc w:val="left"/>
        <w:tblInd w:w="-645.0" w:type="dxa"/>
        <w:tblLayout w:type="fixed"/>
        <w:tblLook w:val="0400"/>
      </w:tblPr>
      <w:tblGrid>
        <w:gridCol w:w="6045"/>
        <w:gridCol w:w="3975"/>
        <w:gridCol w:w="3795"/>
        <w:tblGridChange w:id="0">
          <w:tblGrid>
            <w:gridCol w:w="6045"/>
            <w:gridCol w:w="3975"/>
            <w:gridCol w:w="3795"/>
          </w:tblGrid>
        </w:tblGridChange>
      </w:tblGrid>
      <w:tr>
        <w:trPr>
          <w:cantSplit w:val="0"/>
          <w:trHeight w:val="735" w:hRule="atLeast"/>
          <w:tblHeader w:val="1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alatino Linotype" w:cs="Palatino Linotype" w:eastAsia="Palatino Linotype" w:hAnsi="Palatino Linotyp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alatino Linotype" w:cs="Palatino Linotype" w:eastAsia="Palatino Linotype" w:hAnsi="Palatino Linotyp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alatino Linotype" w:cs="Palatino Linotype" w:eastAsia="Palatino Linotype" w:hAnsi="Palatino Linotyp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spacing w:after="0" w:line="240" w:lineRule="auto"/>
              <w:jc w:val="center"/>
              <w:rPr>
                <w:rFonts w:ascii="Palatino Linotype" w:cs="Palatino Linotype" w:eastAsia="Palatino Linotype" w:hAnsi="Palatino Linotype"/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</w:rPr>
              <w:drawing>
                <wp:inline distB="114300" distT="114300" distL="114300" distR="114300">
                  <wp:extent cx="2891790" cy="1438275"/>
                  <wp:effectExtent b="0" l="0" r="0" t="0"/>
                  <wp:docPr id="323" name="image12.png"/>
                  <a:graphic>
                    <a:graphicData uri="http://schemas.openxmlformats.org/drawingml/2006/picture">
                      <pic:pic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7"/>
                          <a:srcRect b="9593" l="2598" r="0" t="96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1790" cy="14382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center"/>
              <w:rPr>
                <w:rFonts w:ascii="Palatino Linotype" w:cs="Palatino Linotype" w:eastAsia="Palatino Linotype" w:hAnsi="Palatino Linotyp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rtl w:val="0"/>
              </w:rPr>
              <w:t xml:space="preserve">Nombre de la práctica: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spacing w:after="0" w:line="240" w:lineRule="auto"/>
              <w:jc w:val="center"/>
              <w:rPr>
                <w:rFonts w:ascii="Palatino Linotype" w:cs="Palatino Linotype" w:eastAsia="Palatino Linotype" w:hAnsi="Palatino Linotyp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rtl w:val="0"/>
              </w:rPr>
              <w:t xml:space="preserve">Sistema Estatal de Información</w:t>
            </w:r>
          </w:p>
        </w:tc>
      </w:tr>
      <w:tr>
        <w:trPr>
          <w:cantSplit w:val="0"/>
          <w:trHeight w:val="705" w:hRule="atLeast"/>
          <w:tblHeader w:val="1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Palatino Linotype" w:cs="Palatino Linotype" w:eastAsia="Palatino Linotype" w:hAnsi="Palatino Linotyp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alatino Linotype" w:cs="Palatino Linotype" w:eastAsia="Palatino Linotype" w:hAnsi="Palatino Linotype"/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Nombre del Sujeto Obligado</w:t>
            </w:r>
          </w:p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rFonts w:ascii="Palatino Linotype" w:cs="Palatino Linotype" w:eastAsia="Palatino Linotype" w:hAnsi="Palatino Linotyp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rtl w:val="0"/>
              </w:rPr>
              <w:t xml:space="preserve">Secretaría de las Mujeres</w:t>
            </w:r>
          </w:p>
        </w:tc>
      </w:tr>
      <w:tr>
        <w:trPr>
          <w:cantSplit w:val="0"/>
          <w:trHeight w:val="1012.4143066406249" w:hRule="atLeast"/>
          <w:tblHeader w:val="1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Palatino Linotype" w:cs="Palatino Linotype" w:eastAsia="Palatino Linotype" w:hAnsi="Palatino Linotyp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alatino Linotype" w:cs="Palatino Linotype" w:eastAsia="Palatino Linotype" w:hAnsi="Palatino Linotyp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Área responsable de la práctica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spacing w:after="0" w:lineRule="auto"/>
              <w:jc w:val="center"/>
              <w:rPr>
                <w:rFonts w:ascii="Palatino Linotype" w:cs="Palatino Linotype" w:eastAsia="Palatino Linotype" w:hAnsi="Palatino Linotyp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rtl w:val="0"/>
              </w:rPr>
              <w:t xml:space="preserve">  Secretaría Ejecutiva del Sistema de Protección Integral de Niñas, Niños y Adolescentes del Estado de México.</w:t>
            </w:r>
          </w:p>
        </w:tc>
      </w:tr>
      <w:tr>
        <w:trPr>
          <w:cantSplit w:val="0"/>
          <w:trHeight w:val="672.1104736328125" w:hRule="atLeast"/>
          <w:tblHeader w:val="1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Palatino Linotype" w:cs="Palatino Linotype" w:eastAsia="Palatino Linotype" w:hAnsi="Palatino Linotyp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alatino Linotype" w:cs="Palatino Linotype" w:eastAsia="Palatino Linotype" w:hAnsi="Palatino Linotype"/>
                <w:b w:val="1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Disponible </w:t>
            </w: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rtl w:val="0"/>
              </w:rPr>
              <w:t xml:space="preserve">en: </w:t>
            </w:r>
          </w:p>
          <w:p w:rsidR="00000000" w:rsidDel="00000000" w:rsidP="00000000" w:rsidRDefault="00000000" w:rsidRPr="00000000" w14:paraId="00000013">
            <w:pPr>
              <w:spacing w:after="0" w:lineRule="auto"/>
              <w:jc w:val="center"/>
              <w:rPr>
                <w:rFonts w:ascii="Palatino Linotype" w:cs="Palatino Linotype" w:eastAsia="Palatino Linotype" w:hAnsi="Palatino Linotype"/>
                <w:b w:val="1"/>
              </w:rPr>
            </w:pPr>
            <w:bookmarkStart w:colFirst="0" w:colLast="0" w:name="_heading=h.3znysh7" w:id="0"/>
            <w:bookmarkEnd w:id="0"/>
            <w:hyperlink r:id="rId8">
              <w:r w:rsidDel="00000000" w:rsidR="00000000" w:rsidRPr="00000000">
                <w:rPr>
                  <w:rFonts w:ascii="Palatino Linotype" w:cs="Palatino Linotype" w:eastAsia="Palatino Linotype" w:hAnsi="Palatino Linotype"/>
                  <w:b w:val="1"/>
                  <w:color w:val="1155cc"/>
                  <w:u w:val="single"/>
                  <w:rtl w:val="0"/>
                </w:rPr>
                <w:t xml:space="preserve">https://infosipinna.edomex.gob.mx/index.html</w:t>
              </w:r>
            </w:hyperlink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1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Palatino Linotype" w:cs="Palatino Linotype" w:eastAsia="Palatino Linotype" w:hAnsi="Palatino Linotype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alatino Linotype" w:cs="Palatino Linotype" w:eastAsia="Palatino Linotype" w:hAnsi="Palatino Linotype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Periodo: </w:t>
            </w:r>
            <w:r w:rsidDel="00000000" w:rsidR="00000000" w:rsidRPr="00000000">
              <w:rPr>
                <w:rFonts w:ascii="Palatino Linotype" w:cs="Palatino Linotype" w:eastAsia="Palatino Linotype" w:hAnsi="Palatino Linotype"/>
                <w:rtl w:val="0"/>
              </w:rPr>
              <w:t xml:space="preserve">Vigente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latino Linotype" w:cs="Palatino Linotype" w:eastAsia="Palatino Linotype" w:hAnsi="Palatino Linotype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Alcance:  </w:t>
            </w:r>
            <w:r w:rsidDel="00000000" w:rsidR="00000000" w:rsidRPr="00000000">
              <w:rPr>
                <w:rFonts w:ascii="Palatino Linotype" w:cs="Palatino Linotype" w:eastAsia="Palatino Linotype" w:hAnsi="Palatino Linotype"/>
                <w:rtl w:val="0"/>
              </w:rPr>
              <w:t xml:space="preserve">Estatal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5" w:hRule="atLeast"/>
          <w:tblHeader w:val="1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Palatino Linotype" w:cs="Palatino Linotype" w:eastAsia="Palatino Linotype" w:hAnsi="Palatino Linotype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alatino Linotype" w:cs="Palatino Linotype" w:eastAsia="Palatino Linotype" w:hAnsi="Palatino Linotype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Lugar: </w:t>
            </w:r>
            <w:r w:rsidDel="00000000" w:rsidR="00000000" w:rsidRPr="00000000">
              <w:rPr>
                <w:rFonts w:ascii="Palatino Linotype" w:cs="Palatino Linotype" w:eastAsia="Palatino Linotype" w:hAnsi="Palatino Linotype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Estado de </w:t>
            </w:r>
            <w:r w:rsidDel="00000000" w:rsidR="00000000" w:rsidRPr="00000000">
              <w:rPr>
                <w:rFonts w:ascii="Palatino Linotype" w:cs="Palatino Linotype" w:eastAsia="Palatino Linotype" w:hAnsi="Palatino Linotype"/>
                <w:rtl w:val="0"/>
              </w:rPr>
              <w:t xml:space="preserve">México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latino Linotype" w:cs="Palatino Linotype" w:eastAsia="Palatino Linotype" w:hAnsi="Palatino Linotype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Puntuación total: </w:t>
            </w:r>
            <w:r w:rsidDel="00000000" w:rsidR="00000000" w:rsidRPr="00000000">
              <w:rPr>
                <w:rFonts w:ascii="Palatino Linotype" w:cs="Palatino Linotype" w:eastAsia="Palatino Linotype" w:hAnsi="Palatino Linotype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100</w:t>
            </w:r>
          </w:p>
        </w:tc>
      </w:tr>
    </w:tbl>
    <w:p w:rsidR="00000000" w:rsidDel="00000000" w:rsidP="00000000" w:rsidRDefault="00000000" w:rsidRPr="00000000" w14:paraId="0000001B">
      <w:pPr>
        <w:spacing w:after="0" w:lineRule="auto"/>
        <w:jc w:val="left"/>
        <w:rPr>
          <w:rFonts w:ascii="Palatino Linotype" w:cs="Palatino Linotype" w:eastAsia="Palatino Linotype" w:hAnsi="Palatino Linotype"/>
          <w:b w:val="1"/>
        </w:rPr>
      </w:pPr>
      <w:bookmarkStart w:colFirst="0" w:colLast="0" w:name="_heading=h.30j0zll" w:id="1"/>
      <w:bookmarkEnd w:id="1"/>
      <w:r w:rsidDel="00000000" w:rsidR="00000000" w:rsidRPr="00000000">
        <w:rPr>
          <w:rtl w:val="0"/>
        </w:rPr>
      </w:r>
    </w:p>
    <w:tbl>
      <w:tblPr>
        <w:tblStyle w:val="Table2"/>
        <w:tblW w:w="13740.0" w:type="dxa"/>
        <w:jc w:val="left"/>
        <w:tblInd w:w="-572.0" w:type="dxa"/>
        <w:tblLayout w:type="fixed"/>
        <w:tblLook w:val="0400"/>
      </w:tblPr>
      <w:tblGrid>
        <w:gridCol w:w="6750"/>
        <w:gridCol w:w="6990"/>
        <w:tblGridChange w:id="0">
          <w:tblGrid>
            <w:gridCol w:w="6750"/>
            <w:gridCol w:w="6990"/>
          </w:tblGrid>
        </w:tblGridChange>
      </w:tblGrid>
      <w:tr>
        <w:trPr>
          <w:cantSplit w:val="0"/>
          <w:trHeight w:val="1245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latino Linotype" w:cs="Palatino Linotype" w:eastAsia="Palatino Linotype" w:hAnsi="Palatino Linotype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¿Qué es y cómo funciona la práctica?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spacing w:after="0" w:line="240" w:lineRule="auto"/>
              <w:jc w:val="both"/>
              <w:rPr>
                <w:rFonts w:ascii="Palatino Linotype" w:cs="Palatino Linotype" w:eastAsia="Palatino Linotype" w:hAnsi="Palatino Linotyp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rtl w:val="0"/>
              </w:rPr>
              <w:t xml:space="preserve">Es una plataforma que cuenta con información estadística con indicadores por población y municipio, acerca del  Programa de Protección de Niñas, Niños y Adolescentes, Colaboradores que alimentan el sistema, la recopilación y presentación de información en datos abiertos en formato CSV, permite que los registros puedan ser consultados y </w:t>
            </w:r>
            <w:r w:rsidDel="00000000" w:rsidR="00000000" w:rsidRPr="00000000">
              <w:rPr>
                <w:rFonts w:ascii="Palatino Linotype" w:cs="Palatino Linotype" w:eastAsia="Palatino Linotype" w:hAnsi="Palatino Linotype"/>
                <w:rtl w:val="0"/>
              </w:rPr>
              <w:t xml:space="preserve">reutilizados</w:t>
            </w:r>
            <w:r w:rsidDel="00000000" w:rsidR="00000000" w:rsidRPr="00000000">
              <w:rPr>
                <w:rFonts w:ascii="Palatino Linotype" w:cs="Palatino Linotype" w:eastAsia="Palatino Linotype" w:hAnsi="Palatino Linotype"/>
                <w:rtl w:val="0"/>
              </w:rPr>
              <w:t xml:space="preserve"> sin necesidad de un software específico de lectura. Dirigido a dependencias de la Administración Pública, Organizaciones de la Sociedad Civil e Investigadores.</w:t>
            </w:r>
          </w:p>
        </w:tc>
      </w:tr>
      <w:tr>
        <w:trPr>
          <w:cantSplit w:val="0"/>
          <w:trHeight w:val="1312.718139648437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latino Linotype" w:cs="Palatino Linotype" w:eastAsia="Palatino Linotype" w:hAnsi="Palatino Linotype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Objetivo: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spacing w:after="0" w:line="240" w:lineRule="auto"/>
              <w:jc w:val="both"/>
              <w:rPr>
                <w:rFonts w:ascii="Palatino Linotype" w:cs="Palatino Linotype" w:eastAsia="Palatino Linotype" w:hAnsi="Palatino Linotyp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rtl w:val="0"/>
              </w:rPr>
              <w:t xml:space="preserve">Consultar y descargar información estadística, cualitativa y cuantitativa; con respecto de la garantía de los derechos de niñas, niños y adolescentes en el Estado de México</w:t>
            </w:r>
            <w:r w:rsidDel="00000000" w:rsidR="00000000" w:rsidRPr="00000000">
              <w:rPr>
                <w:rFonts w:ascii="Palatino Linotype" w:cs="Palatino Linotype" w:eastAsia="Palatino Linotype" w:hAnsi="Palatino Linotype"/>
                <w:highlight w:val="white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latino Linotype" w:cs="Palatino Linotype" w:eastAsia="Palatino Linotype" w:hAnsi="Palatino Linotype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¿Por qué se desarrolló?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spacing w:after="0" w:lineRule="auto"/>
              <w:jc w:val="both"/>
              <w:rPr>
                <w:rFonts w:ascii="Palatino Linotype" w:cs="Palatino Linotype" w:eastAsia="Palatino Linotype" w:hAnsi="Palatino Linotyp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rtl w:val="0"/>
              </w:rPr>
              <w:t xml:space="preserve">Derivado de la necesidad de conocer información acerca del Sistema Estatal de información sobre niñas, niños y adolescentes en el Estado de México.</w:t>
            </w:r>
          </w:p>
        </w:tc>
      </w:tr>
      <w:tr>
        <w:trPr>
          <w:cantSplit w:val="0"/>
          <w:trHeight w:val="585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latino Linotype" w:cs="Palatino Linotype" w:eastAsia="Palatino Linotype" w:hAnsi="Palatino Linotype"/>
                <w:b w:val="1"/>
                <w:i w:val="0"/>
                <w:smallCaps w:val="0"/>
                <w:strike w:val="0"/>
                <w:color w:val="000000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Beneficios o e</w:t>
            </w: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i w:val="0"/>
                <w:smallCaps w:val="0"/>
                <w:strike w:val="0"/>
                <w:color w:val="000000"/>
                <w:highlight w:val="white"/>
                <w:u w:val="none"/>
                <w:vertAlign w:val="baseline"/>
                <w:rtl w:val="0"/>
              </w:rPr>
              <w:t xml:space="preserve">fectos positivos generados a partir de la información difundida.</w:t>
            </w:r>
          </w:p>
          <w:p w:rsidR="00000000" w:rsidDel="00000000" w:rsidP="00000000" w:rsidRDefault="00000000" w:rsidRPr="00000000" w14:paraId="00000024">
            <w:pPr>
              <w:spacing w:after="0" w:lineRule="auto"/>
              <w:jc w:val="both"/>
              <w:rPr>
                <w:rFonts w:ascii="Palatino Linotype" w:cs="Palatino Linotype" w:eastAsia="Palatino Linotype" w:hAnsi="Palatino Linotyp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rtl w:val="0"/>
              </w:rPr>
              <w:t xml:space="preserve">Mostrar un panorama estatal y municipal respecto de la garantía de los derechos de niñas, niños y adolescentes, apoyando así la toma de decisiones informadas y políticas públicas efectivas orientadas a este grupo poblacional, por parte de las autoridades competentes.</w:t>
            </w:r>
          </w:p>
        </w:tc>
      </w:tr>
      <w:tr>
        <w:trPr>
          <w:cantSplit w:val="0"/>
          <w:trHeight w:val="82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</w:tcPr>
          <w:p w:rsidR="00000000" w:rsidDel="00000000" w:rsidP="00000000" w:rsidRDefault="00000000" w:rsidRPr="00000000" w14:paraId="00000026">
            <w:pPr>
              <w:spacing w:after="0" w:line="240" w:lineRule="auto"/>
              <w:rPr>
                <w:rFonts w:ascii="Palatino Linotype" w:cs="Palatino Linotype" w:eastAsia="Palatino Linotype" w:hAnsi="Palatino Linotyp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rtl w:val="0"/>
              </w:rPr>
              <w:t xml:space="preserve">¿La práctica cuenta con mecanismos de participación ciudadana durante el proceso?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spacing w:after="0" w:line="240" w:lineRule="auto"/>
              <w:rPr>
                <w:rFonts w:ascii="Palatino Linotype" w:cs="Palatino Linotype" w:eastAsia="Palatino Linotype" w:hAnsi="Palatino Linotyp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rtl w:val="0"/>
              </w:rPr>
              <w:t xml:space="preserve">Sí, a través de la encuesta de satisfacción que se encuentra dentro del micrositio.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both"/>
              <w:rPr>
                <w:rFonts w:ascii="Palatino Linotype" w:cs="Palatino Linotype" w:eastAsia="Palatino Linotype" w:hAnsi="Palatino Linotyp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rtl w:val="0"/>
              </w:rPr>
              <w:t xml:space="preserve">¿La práctica cuenta con algún registro del número de consultas realizadas a la información difundida?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numPr>
                <w:ilvl w:val="0"/>
                <w:numId w:val="1"/>
              </w:numPr>
              <w:spacing w:after="0" w:lineRule="auto"/>
              <w:ind w:hanging="360"/>
              <w:jc w:val="both"/>
              <w:rPr>
                <w:rFonts w:ascii="Palatino Linotype" w:cs="Palatino Linotype" w:eastAsia="Palatino Linotype" w:hAnsi="Palatino Linotyp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rtl w:val="0"/>
              </w:rPr>
              <w:t xml:space="preserve">Si, cuenta con contador de visita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5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latino Linotype" w:cs="Palatino Linotype" w:eastAsia="Palatino Linotype" w:hAnsi="Palatino Linotype"/>
                <w:i w:val="0"/>
                <w:smallCaps w:val="0"/>
                <w:strike w:val="0"/>
                <w:color w:val="000000"/>
                <w:u w:val="none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rtl w:val="0"/>
              </w:rPr>
              <w:t xml:space="preserve">Observaciones</w:t>
            </w: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i w:val="0"/>
                <w:smallCaps w:val="0"/>
                <w:strike w:val="0"/>
                <w:color w:val="000000"/>
                <w:u w:val="none"/>
                <w:vertAlign w:val="baseline"/>
                <w:rtl w:val="0"/>
              </w:rPr>
              <w:t xml:space="preserve">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spacing w:after="0" w:line="240" w:lineRule="auto"/>
              <w:jc w:val="both"/>
              <w:rPr>
                <w:rFonts w:ascii="Palatino Linotype" w:cs="Palatino Linotype" w:eastAsia="Palatino Linotype" w:hAnsi="Palatino Linotyp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rtl w:val="0"/>
              </w:rPr>
              <w:t xml:space="preserve">Derivado de la información remitida, se advierte que cuenta con los elementos suficientes para considerarse una Práctica de Transparencia Proactiva, al apreciarse los atributos de calidad de la información,  la </w:t>
            </w:r>
            <w:r w:rsidDel="00000000" w:rsidR="00000000" w:rsidRPr="00000000">
              <w:rPr>
                <w:rFonts w:ascii="Palatino Linotype" w:cs="Palatino Linotype" w:eastAsia="Palatino Linotype" w:hAnsi="Palatino Linotype"/>
                <w:color w:val="1f1f1f"/>
                <w:highlight w:val="white"/>
                <w:rtl w:val="0"/>
              </w:rPr>
              <w:t xml:space="preserve">contabilización de consultas, la participación ciudadana, los efectos positivos y los medios alternos de difusión de la información.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D">
      <w:pPr>
        <w:jc w:val="both"/>
        <w:rPr>
          <w:rFonts w:ascii="Arial" w:cs="Arial" w:eastAsia="Arial" w:hAnsi="Arial"/>
        </w:rPr>
      </w:pPr>
      <w:bookmarkStart w:colFirst="0" w:colLast="0" w:name="_heading=h.oleu9wxrvtgl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40" w:lineRule="auto"/>
        <w:ind w:left="-708" w:firstLine="0"/>
        <w:jc w:val="center"/>
        <w:rPr>
          <w:rFonts w:ascii="Palatino Linotype" w:cs="Palatino Linotype" w:eastAsia="Palatino Linotype" w:hAnsi="Palatino Linotype"/>
          <w:b w:val="1"/>
        </w:rPr>
      </w:pPr>
      <w:bookmarkStart w:colFirst="0" w:colLast="0" w:name="_heading=h.y2fdnbofth29" w:id="3"/>
      <w:bookmarkEnd w:id="3"/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  <w:r w:rsidDel="00000000" w:rsidR="00000000" w:rsidRPr="00000000">
        <w:rPr>
          <w:rFonts w:ascii="Palatino Linotype" w:cs="Palatino Linotype" w:eastAsia="Palatino Linotype" w:hAnsi="Palatino Linotype"/>
          <w:b w:val="1"/>
          <w:rtl w:val="0"/>
        </w:rPr>
        <w:t xml:space="preserve"> EVALUACIÓN</w:t>
      </w:r>
    </w:p>
    <w:sdt>
      <w:sdtPr>
        <w:lock w:val="contentLocked"/>
        <w:tag w:val="goog_rdk_0"/>
      </w:sdtPr>
      <w:sdtContent>
        <w:tbl>
          <w:tblPr>
            <w:tblStyle w:val="Table3"/>
            <w:tblW w:w="14460.0" w:type="dxa"/>
            <w:jc w:val="left"/>
            <w:tblInd w:w="-768.0000000000001" w:type="dxa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4095"/>
            <w:gridCol w:w="1275"/>
            <w:gridCol w:w="3765"/>
            <w:gridCol w:w="5325"/>
            <w:tblGridChange w:id="0">
              <w:tblGrid>
                <w:gridCol w:w="4095"/>
                <w:gridCol w:w="1275"/>
                <w:gridCol w:w="3765"/>
                <w:gridCol w:w="5325"/>
              </w:tblGrid>
            </w:tblGridChange>
          </w:tblGrid>
          <w:tr>
            <w:trPr>
              <w:cantSplit w:val="0"/>
              <w:trHeight w:val="420" w:hRule="atLeast"/>
              <w:tblHeader w:val="0"/>
            </w:trPr>
            <w:tc>
              <w:tcPr>
                <w:shd w:fill="d9d9d9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2F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b w:val="1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b w:val="1"/>
                    <w:rtl w:val="0"/>
                  </w:rPr>
                  <w:t xml:space="preserve">CRITERIOS A EVALUAR</w:t>
                </w:r>
              </w:p>
            </w:tc>
            <w:tc>
              <w:tcPr>
                <w:shd w:fill="cccccc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30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b w:val="1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b w:val="1"/>
                    <w:rtl w:val="0"/>
                  </w:rPr>
                  <w:t xml:space="preserve">PUNTOS</w:t>
                </w:r>
              </w:p>
            </w:tc>
            <w:tc>
              <w:tcPr>
                <w:shd w:fill="cccccc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31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b w:val="1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b w:val="1"/>
                    <w:rtl w:val="0"/>
                  </w:rPr>
                  <w:t xml:space="preserve">COMENTARIOS</w:t>
                </w:r>
              </w:p>
            </w:tc>
            <w:tc>
              <w:tcPr>
                <w:shd w:fill="cccccc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32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b w:val="1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b w:val="1"/>
                    <w:rtl w:val="0"/>
                  </w:rPr>
                  <w:t xml:space="preserve">EVIDENCIA</w:t>
                </w:r>
              </w:p>
            </w:tc>
          </w:tr>
          <w:tr>
            <w:trPr>
              <w:cantSplit w:val="0"/>
              <w:trHeight w:val="420" w:hRule="atLeast"/>
              <w:tblHeader w:val="0"/>
            </w:trPr>
            <w:tc>
              <w:tcPr>
                <w:gridSpan w:val="4"/>
                <w:shd w:fill="d9d9d9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33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b w:val="1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b w:val="1"/>
                    <w:rtl w:val="0"/>
                  </w:rPr>
                  <w:t xml:space="preserve">1. Calidad de la información (0 a 4)</w:t>
                </w:r>
              </w:p>
            </w:tc>
          </w:tr>
          <w:tr>
            <w:trPr>
              <w:cantSplit w:val="0"/>
              <w:trHeight w:val="1987.822265625" w:hRule="atLeast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d9d9d9" w:val="clear"/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37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b w:val="1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b w:val="1"/>
                    <w:rtl w:val="0"/>
                  </w:rPr>
                  <w:t xml:space="preserve">Accesible</w:t>
                </w:r>
              </w:p>
              <w:p w:rsidR="00000000" w:rsidDel="00000000" w:rsidP="00000000" w:rsidRDefault="00000000" w:rsidRPr="00000000" w14:paraId="00000038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8"/>
                    <w:szCs w:val="18"/>
                    <w:rtl w:val="0"/>
                  </w:rPr>
                  <w:t xml:space="preserve">Que esté presentada de tal manera que todas las personas puedan consultarla,</w:t>
                </w:r>
              </w:p>
              <w:p w:rsidR="00000000" w:rsidDel="00000000" w:rsidP="00000000" w:rsidRDefault="00000000" w:rsidRPr="00000000" w14:paraId="00000039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8"/>
                    <w:szCs w:val="18"/>
                    <w:rtl w:val="0"/>
                  </w:rPr>
                  <w:t xml:space="preserve">examinarla y utilizarla independientemente de sus capacidades técnicas, cognitivas o</w:t>
                </w:r>
              </w:p>
              <w:p w:rsidR="00000000" w:rsidDel="00000000" w:rsidP="00000000" w:rsidRDefault="00000000" w:rsidRPr="00000000" w14:paraId="0000003A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8"/>
                    <w:szCs w:val="18"/>
                    <w:rtl w:val="0"/>
                  </w:rPr>
                  <w:t xml:space="preserve">físicas</w:t>
                </w:r>
              </w:p>
              <w:p w:rsidR="00000000" w:rsidDel="00000000" w:rsidP="00000000" w:rsidRDefault="00000000" w:rsidRPr="00000000" w14:paraId="0000003B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3C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4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3D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Cualquier persona puede consultarlo y se encuentra alojado en la página oficial del Sujeto Obligado.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3E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3F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6"/>
                    <w:szCs w:val="16"/>
                    <w:u w:val="single"/>
                  </w:rPr>
                  <w:drawing>
                    <wp:inline distB="114300" distT="114300" distL="114300" distR="114300">
                      <wp:extent cx="3248025" cy="1612900"/>
                      <wp:effectExtent b="0" l="0" r="0" t="0"/>
                      <wp:docPr id="318" name="image1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1.png"/>
                              <pic:cNvPicPr preferRelativeResize="0"/>
                            </pic:nvPicPr>
                            <pic:blipFill>
                              <a:blip r:embed="rId9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248025" cy="16129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cccccc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d9d9d9" w:val="clear"/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40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b w:val="1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b w:val="1"/>
                    <w:rtl w:val="0"/>
                  </w:rPr>
                  <w:t xml:space="preserve">Confiable</w:t>
                </w:r>
              </w:p>
              <w:p w:rsidR="00000000" w:rsidDel="00000000" w:rsidP="00000000" w:rsidRDefault="00000000" w:rsidRPr="00000000" w14:paraId="00000041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8"/>
                    <w:szCs w:val="18"/>
                    <w:rtl w:val="0"/>
                  </w:rPr>
                  <w:t xml:space="preserve">Que sea creíble y fidedigna y que proporcione elementos y/o datos que</w:t>
                </w:r>
              </w:p>
              <w:p w:rsidR="00000000" w:rsidDel="00000000" w:rsidP="00000000" w:rsidRDefault="00000000" w:rsidRPr="00000000" w14:paraId="00000042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8"/>
                    <w:szCs w:val="18"/>
                    <w:rtl w:val="0"/>
                  </w:rPr>
                  <w:t xml:space="preserve">permiten la identificación de su origen, fecha de generación, de emisión y difusión de la</w:t>
                </w:r>
              </w:p>
              <w:p w:rsidR="00000000" w:rsidDel="00000000" w:rsidP="00000000" w:rsidRDefault="00000000" w:rsidRPr="00000000" w14:paraId="00000043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8"/>
                    <w:szCs w:val="18"/>
                    <w:rtl w:val="0"/>
                  </w:rPr>
                  <w:t xml:space="preserve">misma</w:t>
                </w:r>
              </w:p>
            </w:tc>
            <w:tc>
              <w:tcPr>
                <w:tcBorders>
                  <w:top w:color="cccccc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44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4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45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M</w:t>
                </w: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enciona</w:t>
                </w: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 que la información es vigente y se ha difundido de manera reciente.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46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20"/>
                    <w:szCs w:val="20"/>
                  </w:rPr>
                  <w:drawing>
                    <wp:inline distB="114300" distT="114300" distL="114300" distR="114300">
                      <wp:extent cx="3029902" cy="714921"/>
                      <wp:effectExtent b="0" l="0" r="0" t="0"/>
                      <wp:docPr id="320" name="image1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3.png"/>
                              <pic:cNvPicPr preferRelativeResize="0"/>
                            </pic:nvPicPr>
                            <pic:blipFill>
                              <a:blip r:embed="rId10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029902" cy="714921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w: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47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6"/>
                    <w:szCs w:val="16"/>
                    <w:u w:val="single"/>
                    <w:rtl w:val="0"/>
                  </w:rPr>
                  <w:t xml:space="preserve">Información extraída del formulario enviado por el sujeto obligado.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2400" w:hRule="atLeast"/>
              <w:tblHeader w:val="0"/>
            </w:trPr>
            <w:tc>
              <w:tcPr>
                <w:tcBorders>
                  <w:top w:color="cccccc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d9d9d9" w:val="clear"/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48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b w:val="1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b w:val="1"/>
                    <w:rtl w:val="0"/>
                  </w:rPr>
                  <w:t xml:space="preserve">Comprensible</w:t>
                </w:r>
              </w:p>
              <w:p w:rsidR="00000000" w:rsidDel="00000000" w:rsidP="00000000" w:rsidRDefault="00000000" w:rsidRPr="00000000" w14:paraId="00000049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8"/>
                    <w:szCs w:val="18"/>
                    <w:rtl w:val="0"/>
                  </w:rPr>
                  <w:t xml:space="preserve">Que es sencilla, clara y entendible para cualquier persona</w:t>
                </w:r>
              </w:p>
            </w:tc>
            <w:tc>
              <w:tcPr>
                <w:tcBorders>
                  <w:top w:color="cccccc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4A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4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4B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La información contenida en el sitio web es presentada en un lenguaje sencillo y fácil de entender.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4C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20"/>
                    <w:szCs w:val="20"/>
                  </w:rPr>
                  <w:drawing>
                    <wp:inline distB="114300" distT="114300" distL="114300" distR="114300">
                      <wp:extent cx="3248025" cy="1803400"/>
                      <wp:effectExtent b="0" l="0" r="0" t="0"/>
                      <wp:docPr id="311" name="image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7.png"/>
                              <pic:cNvPicPr preferRelativeResize="0"/>
                            </pic:nvPicPr>
                            <pic:blipFill>
                              <a:blip r:embed="rId11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248025" cy="18034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1307.2265625" w:hRule="atLeast"/>
              <w:tblHeader w:val="0"/>
            </w:trPr>
            <w:tc>
              <w:tcPr>
                <w:tcBorders>
                  <w:top w:color="cccccc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d9d9d9" w:val="clear"/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4D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b w:val="1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b w:val="1"/>
                    <w:rtl w:val="0"/>
                  </w:rPr>
                  <w:t xml:space="preserve">Oportuna</w:t>
                </w:r>
              </w:p>
              <w:p w:rsidR="00000000" w:rsidDel="00000000" w:rsidP="00000000" w:rsidRDefault="00000000" w:rsidRPr="00000000" w14:paraId="0000004E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8"/>
                    <w:szCs w:val="18"/>
                    <w:rtl w:val="0"/>
                  </w:rPr>
                  <w:t xml:space="preserve">Que se publica a tiempo para preservar su valor y ser útil para la toma de</w:t>
                </w:r>
              </w:p>
              <w:p w:rsidR="00000000" w:rsidDel="00000000" w:rsidP="00000000" w:rsidRDefault="00000000" w:rsidRPr="00000000" w14:paraId="0000004F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8"/>
                    <w:szCs w:val="18"/>
                    <w:rtl w:val="0"/>
                  </w:rPr>
                  <w:t xml:space="preserve">decisiones de las personas usuarias</w:t>
                </w:r>
              </w:p>
            </w:tc>
            <w:tc>
              <w:tcPr>
                <w:tcBorders>
                  <w:top w:color="cccccc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50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4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51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La información presentada es de utilidad para la toma de decisiones en la construcción de políticas públicas.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52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20"/>
                    <w:szCs w:val="20"/>
                  </w:rPr>
                  <w:drawing>
                    <wp:inline distB="114300" distT="114300" distL="114300" distR="114300">
                      <wp:extent cx="3248025" cy="1524000"/>
                      <wp:effectExtent b="0" l="0" r="0" t="0"/>
                      <wp:docPr id="322" name="image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.png"/>
                              <pic:cNvPicPr preferRelativeResize="0"/>
                            </pic:nvPicPr>
                            <pic:blipFill>
                              <a:blip r:embed="rId12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248025" cy="15240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400" w:hRule="atLeast"/>
              <w:tblHeader w:val="0"/>
            </w:trPr>
            <w:tc>
              <w:tcPr>
                <w:tcBorders>
                  <w:top w:color="cccccc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d9d9d9" w:val="clear"/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53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b w:val="1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b w:val="1"/>
                    <w:rtl w:val="0"/>
                  </w:rPr>
                  <w:t xml:space="preserve">Veraz</w:t>
                </w:r>
              </w:p>
              <w:p w:rsidR="00000000" w:rsidDel="00000000" w:rsidP="00000000" w:rsidRDefault="00000000" w:rsidRPr="00000000" w14:paraId="00000054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8"/>
                    <w:szCs w:val="18"/>
                    <w:rtl w:val="0"/>
                  </w:rPr>
                  <w:t xml:space="preserve">Que sea exacta, refiera o manifieste siempre la verdad respecto de lo generado,</w:t>
                </w:r>
              </w:p>
              <w:p w:rsidR="00000000" w:rsidDel="00000000" w:rsidP="00000000" w:rsidRDefault="00000000" w:rsidRPr="00000000" w14:paraId="00000055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8"/>
                    <w:szCs w:val="18"/>
                    <w:rtl w:val="0"/>
                  </w:rPr>
                  <w:t xml:space="preserve">utilizado o publicitado por el Sujeto Obligado</w:t>
                </w:r>
              </w:p>
              <w:p w:rsidR="00000000" w:rsidDel="00000000" w:rsidP="00000000" w:rsidRDefault="00000000" w:rsidRPr="00000000" w14:paraId="00000056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57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4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58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Se encuentra basado en la Ley de los Derechos de Niñas, Niños y Adolescentes del Estado de México.</w:t>
                </w:r>
              </w:p>
            </w:tc>
            <w:tc>
              <w:tcPr>
                <w:vMerge w:val="restart"/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59">
                <w:pPr>
                  <w:tabs>
                    <w:tab w:val="center" w:leader="none" w:pos="4419"/>
                    <w:tab w:val="right" w:leader="none" w:pos="8838"/>
                  </w:tabs>
                  <w:spacing w:after="0" w:line="240" w:lineRule="auto"/>
                  <w:jc w:val="right"/>
                  <w:rPr>
                    <w:rFonts w:ascii="Palatino Linotype" w:cs="Palatino Linotype" w:eastAsia="Palatino Linotype" w:hAnsi="Palatino Linotype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20"/>
                    <w:szCs w:val="20"/>
                  </w:rPr>
                  <w:drawing>
                    <wp:inline distB="114300" distT="114300" distL="114300" distR="114300">
                      <wp:extent cx="2523173" cy="1478421"/>
                      <wp:effectExtent b="0" l="0" r="0" t="0"/>
                      <wp:docPr id="310" name="image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9.png"/>
                              <pic:cNvPicPr preferRelativeResize="0"/>
                            </pic:nvPicPr>
                            <pic:blipFill>
                              <a:blip r:embed="rId13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523173" cy="1478421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w: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20"/>
                    <w:szCs w:val="20"/>
                  </w:rPr>
                  <w:drawing>
                    <wp:inline distB="114300" distT="114300" distL="114300" distR="114300">
                      <wp:extent cx="2747472" cy="1522943"/>
                      <wp:effectExtent b="0" l="0" r="0" t="0"/>
                      <wp:docPr id="324" name="image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5.png"/>
                              <pic:cNvPicPr preferRelativeResize="0"/>
                            </pic:nvPicPr>
                            <pic:blipFill>
                              <a:blip r:embed="rId14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747472" cy="1522943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w: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5A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5B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6"/>
                    <w:szCs w:val="16"/>
                    <w:u w:val="single"/>
                    <w:rtl w:val="0"/>
                  </w:rPr>
                  <w:t xml:space="preserve">Información extraída del formulario enviado por el sujeto obligado.</w:t>
                </w: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5C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420" w:hRule="atLeast"/>
              <w:tblHeader w:val="0"/>
            </w:trPr>
            <w:tc>
              <w:tcPr>
                <w:tcBorders>
                  <w:top w:color="cccccc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d9d9d9" w:val="clear"/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5D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b w:val="1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b w:val="1"/>
                    <w:rtl w:val="0"/>
                  </w:rPr>
                  <w:t xml:space="preserve">Congruente</w:t>
                </w:r>
              </w:p>
              <w:p w:rsidR="00000000" w:rsidDel="00000000" w:rsidP="00000000" w:rsidRDefault="00000000" w:rsidRPr="00000000" w14:paraId="0000005E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8"/>
                    <w:szCs w:val="18"/>
                    <w:rtl w:val="0"/>
                  </w:rPr>
                  <w:t xml:space="preserve">Que mantiene relación y coherencia con otra información generada,</w:t>
                </w:r>
              </w:p>
              <w:p w:rsidR="00000000" w:rsidDel="00000000" w:rsidP="00000000" w:rsidRDefault="00000000" w:rsidRPr="00000000" w14:paraId="0000005F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8"/>
                    <w:szCs w:val="18"/>
                    <w:rtl w:val="0"/>
                  </w:rPr>
                  <w:t xml:space="preserve">utilizada y/o publicada por el Sujeto Obligado</w:t>
                </w:r>
              </w:p>
            </w:tc>
            <w:tc>
              <w:tcPr>
                <w:tcBorders>
                  <w:top w:color="cccccc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60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4</w:t>
                </w:r>
              </w:p>
            </w:tc>
            <w:tc>
              <w:tcPr>
                <w:tcBorders>
                  <w:left w:color="000000" w:space="0" w:sz="8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61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El contenido está relacionado con otras fuentes  primarias de información.</w:t>
                </w:r>
              </w:p>
            </w:tc>
            <w:tc>
              <w:tcPr>
                <w:vMerge w:val="continue"/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62">
                <w:pPr>
                  <w:widowControl w:val="0"/>
                  <w:spacing w:after="0" w:before="0" w:line="240" w:lineRule="auto"/>
                  <w:ind w:left="0" w:firstLine="0"/>
                  <w:jc w:val="both"/>
                  <w:rPr>
                    <w:rFonts w:ascii="Palatino Linotype" w:cs="Palatino Linotype" w:eastAsia="Palatino Linotype" w:hAnsi="Palatino Linotype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420" w:hRule="atLeast"/>
              <w:tblHeader w:val="0"/>
            </w:trPr>
            <w:tc>
              <w:tcPr>
                <w:tcBorders>
                  <w:top w:color="cccccc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d9d9d9" w:val="clear"/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63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b w:val="1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b w:val="1"/>
                    <w:rtl w:val="0"/>
                  </w:rPr>
                  <w:t xml:space="preserve">Verificable</w:t>
                </w:r>
              </w:p>
              <w:p w:rsidR="00000000" w:rsidDel="00000000" w:rsidP="00000000" w:rsidRDefault="00000000" w:rsidRPr="00000000" w14:paraId="00000064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8"/>
                    <w:szCs w:val="18"/>
                    <w:rtl w:val="0"/>
                  </w:rPr>
                  <w:t xml:space="preserve">Que es posible comprobar la veracidad de la información, así como</w:t>
                </w:r>
              </w:p>
              <w:p w:rsidR="00000000" w:rsidDel="00000000" w:rsidP="00000000" w:rsidRDefault="00000000" w:rsidRPr="00000000" w14:paraId="00000065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8"/>
                    <w:szCs w:val="18"/>
                    <w:rtl w:val="0"/>
                  </w:rPr>
                  <w:t xml:space="preserve">examinar el método por el cual el Sujeto Obligado la generó</w:t>
                </w:r>
              </w:p>
            </w:tc>
            <w:tc>
              <w:tcPr>
                <w:tcBorders>
                  <w:top w:color="cccccc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66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4</w:t>
                </w:r>
              </w:p>
            </w:tc>
            <w:tc>
              <w:tcPr>
                <w:tcBorders>
                  <w:left w:color="000000" w:space="0" w:sz="8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67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Permite constatar la información compartida con otras fuentes.</w:t>
                </w:r>
              </w:p>
            </w:tc>
            <w:tc>
              <w:tcPr>
                <w:vMerge w:val="continue"/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68">
                <w:pPr>
                  <w:widowControl w:val="0"/>
                  <w:spacing w:after="0" w:before="0" w:line="240" w:lineRule="auto"/>
                  <w:ind w:left="0" w:firstLine="0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cccccc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d9d9d9" w:val="clear"/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69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b w:val="1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b w:val="1"/>
                    <w:rtl w:val="0"/>
                  </w:rPr>
                  <w:t xml:space="preserve">Completa</w:t>
                </w:r>
              </w:p>
              <w:p w:rsidR="00000000" w:rsidDel="00000000" w:rsidP="00000000" w:rsidRDefault="00000000" w:rsidRPr="00000000" w14:paraId="0000006A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8"/>
                    <w:szCs w:val="18"/>
                    <w:rtl w:val="0"/>
                  </w:rPr>
                  <w:t xml:space="preserve">Que proporcione todos los datos, aspectos, partes o referentes necesarios</w:t>
                </w:r>
              </w:p>
              <w:p w:rsidR="00000000" w:rsidDel="00000000" w:rsidP="00000000" w:rsidRDefault="00000000" w:rsidRPr="00000000" w14:paraId="0000006B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8"/>
                    <w:szCs w:val="18"/>
                    <w:rtl w:val="0"/>
                  </w:rPr>
                  <w:t xml:space="preserve">para ser global respecto del quehacer del Sujeto Obligado</w:t>
                </w:r>
              </w:p>
            </w:tc>
            <w:tc>
              <w:tcPr>
                <w:tcBorders>
                  <w:top w:color="cccccc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6C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4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6D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Proporciona información y datos del quehacer del Sujeto Obligado.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6E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20"/>
                    <w:szCs w:val="20"/>
                  </w:rPr>
                  <w:drawing>
                    <wp:inline distB="114300" distT="114300" distL="114300" distR="114300">
                      <wp:extent cx="2715577" cy="2359603"/>
                      <wp:effectExtent b="0" l="0" r="0" t="0"/>
                      <wp:docPr id="317" name="image1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5.png"/>
                              <pic:cNvPicPr preferRelativeResize="0"/>
                            </pic:nvPicPr>
                            <pic:blipFill>
                              <a:blip r:embed="rId15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715577" cy="2359603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cccccc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d9d9d9" w:val="clear"/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6F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b w:val="1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b w:val="1"/>
                    <w:rtl w:val="0"/>
                  </w:rPr>
                  <w:t xml:space="preserve">Actual</w:t>
                </w:r>
              </w:p>
              <w:p w:rsidR="00000000" w:rsidDel="00000000" w:rsidP="00000000" w:rsidRDefault="00000000" w:rsidRPr="00000000" w14:paraId="00000070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8"/>
                    <w:szCs w:val="18"/>
                    <w:rtl w:val="0"/>
                  </w:rPr>
                  <w:t xml:space="preserve">Que es la última versión de la información y es resultado de la adición,</w:t>
                </w:r>
              </w:p>
              <w:p w:rsidR="00000000" w:rsidDel="00000000" w:rsidP="00000000" w:rsidRDefault="00000000" w:rsidRPr="00000000" w14:paraId="00000071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8"/>
                    <w:szCs w:val="18"/>
                    <w:rtl w:val="0"/>
                  </w:rPr>
                  <w:t xml:space="preserve">modificación o generación de datos a partir de las acciones y actividades del Sujeto Obligado</w:t>
                </w:r>
              </w:p>
            </w:tc>
            <w:tc>
              <w:tcPr>
                <w:tcBorders>
                  <w:top w:color="cccccc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72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4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73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Es información actualizada.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74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20"/>
                    <w:szCs w:val="20"/>
                  </w:rPr>
                  <w:drawing>
                    <wp:inline distB="114300" distT="114300" distL="114300" distR="114300">
                      <wp:extent cx="2477452" cy="2194594"/>
                      <wp:effectExtent b="0" l="0" r="0" t="0"/>
                      <wp:docPr id="321" name="image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.png"/>
                              <pic:cNvPicPr preferRelativeResize="0"/>
                            </pic:nvPicPr>
                            <pic:blipFill>
                              <a:blip r:embed="rId16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77452" cy="2194594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w: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75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6"/>
                    <w:szCs w:val="16"/>
                    <w:u w:val="single"/>
                    <w:rtl w:val="0"/>
                  </w:rPr>
                  <w:t xml:space="preserve">Información extraída del formulario enviado por el sujeto obligado.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cccccc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d9d9d9" w:val="clear"/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76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b w:val="1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b w:val="1"/>
                    <w:rtl w:val="0"/>
                  </w:rPr>
                  <w:t xml:space="preserve">Datos abiertos</w:t>
                </w:r>
              </w:p>
            </w:tc>
            <w:tc>
              <w:tcPr>
                <w:tcBorders>
                  <w:top w:color="cccccc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77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4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78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Cuenta con información estadística descargable en formato CSV.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79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20"/>
                    <w:szCs w:val="20"/>
                  </w:rPr>
                  <w:drawing>
                    <wp:inline distB="114300" distT="114300" distL="114300" distR="114300">
                      <wp:extent cx="2296478" cy="1583778"/>
                      <wp:effectExtent b="0" l="0" r="0" t="0"/>
                      <wp:docPr id="314" name="image1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4.png"/>
                              <pic:cNvPicPr preferRelativeResize="0"/>
                            </pic:nvPicPr>
                            <pic:blipFill>
                              <a:blip r:embed="rId17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296478" cy="1583778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420" w:hRule="atLeast"/>
              <w:tblHeader w:val="0"/>
            </w:trPr>
            <w:tc>
              <w:tcPr>
                <w:gridSpan w:val="4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d9d9d9" w:val="clear"/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7A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b w:val="1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b w:val="1"/>
                    <w:rtl w:val="0"/>
                  </w:rPr>
                  <w:t xml:space="preserve">2. Contabilización de consultas o reutilización de la información en medios de difusión (0 a 10)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d9d9d9" w:val="clear"/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7E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Existencia de mecanismos de registro de consultas y/o reutilización de información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7F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10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80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Cuenta con contador de visitas.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81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20"/>
                    <w:szCs w:val="20"/>
                  </w:rPr>
                  <w:drawing>
                    <wp:inline distB="114300" distT="114300" distL="114300" distR="114300">
                      <wp:extent cx="2429828" cy="1396453"/>
                      <wp:effectExtent b="0" l="0" r="0" t="0"/>
                      <wp:docPr id="309" name="image1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0.png"/>
                              <pic:cNvPicPr preferRelativeResize="0"/>
                            </pic:nvPicPr>
                            <pic:blipFill>
                              <a:blip r:embed="rId1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29828" cy="1396453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2891.8359375" w:hRule="atLeast"/>
              <w:tblHeader w:val="0"/>
            </w:trPr>
            <w:tc>
              <w:tcPr>
                <w:tcBorders>
                  <w:top w:color="cccccc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d9d9d9" w:val="clear"/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82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Aprovechamiento del registro de consultas y/o reutilización de la información publicada</w:t>
                </w:r>
              </w:p>
            </w:tc>
            <w:tc>
              <w:tcPr>
                <w:tcBorders>
                  <w:top w:color="cccccc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83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10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84">
                <w:pPr>
                  <w:spacing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Apoya a conocer el interés por la información presentada.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85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20"/>
                    <w:szCs w:val="20"/>
                  </w:rPr>
                  <w:drawing>
                    <wp:inline distB="114300" distT="114300" distL="114300" distR="114300">
                      <wp:extent cx="2467927" cy="2106767"/>
                      <wp:effectExtent b="0" l="0" r="0" t="0"/>
                      <wp:docPr id="316" name="image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8.png"/>
                              <pic:cNvPicPr preferRelativeResize="0"/>
                            </pic:nvPicPr>
                            <pic:blipFill>
                              <a:blip r:embed="rId19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67927" cy="2106767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w: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86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6"/>
                    <w:szCs w:val="16"/>
                    <w:u w:val="single"/>
                    <w:rtl w:val="0"/>
                  </w:rPr>
                  <w:t xml:space="preserve">Información extraída del formulario enviado por el sujeto obligado.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375" w:hRule="atLeast"/>
              <w:tblHeader w:val="0"/>
            </w:trPr>
            <w:tc>
              <w:tcPr>
                <w:gridSpan w:val="4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d9d9d9" w:val="clear"/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87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b w:val="1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b w:val="1"/>
                    <w:rtl w:val="0"/>
                  </w:rPr>
                  <w:t xml:space="preserve">3. La participación ciudadana efectiva e informada en el proceso de publicación y difusión de información proactiva (0 a 10)</w:t>
                </w:r>
              </w:p>
            </w:tc>
          </w:tr>
          <w:tr>
            <w:trPr>
              <w:cantSplit w:val="0"/>
              <w:trHeight w:val="3405" w:hRule="atLeast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d9d9d9" w:val="clear"/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8B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La implementación de mecanismos de participación ciudadana, como encuestas, estudios de opinión, o cualquier otro ejercicio que derive en la aplicación de algún instrumento o herramienta que posibilite la apertura de las instituciones públicas hacia la participación efectiva de la población que haga uso de la información publicada de manera proactiva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8C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10</w:t>
                </w:r>
              </w:p>
            </w:tc>
            <w:tc>
              <w:tcPr>
                <w:tcBorders>
                  <w:left w:color="000000" w:space="0" w:sz="8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8D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Cuenta con encuesta de satisfacción de la información.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8E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20"/>
                    <w:szCs w:val="20"/>
                  </w:rPr>
                  <w:drawing>
                    <wp:inline distB="114300" distT="114300" distL="114300" distR="114300">
                      <wp:extent cx="1715453" cy="2030725"/>
                      <wp:effectExtent b="0" l="0" r="0" t="0"/>
                      <wp:docPr id="312" name="image1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7.png"/>
                              <pic:cNvPicPr preferRelativeResize="0"/>
                            </pic:nvPicPr>
                            <pic:blipFill>
                              <a:blip r:embed="rId20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15453" cy="203072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2171.8359375" w:hRule="atLeast"/>
              <w:tblHeader w:val="0"/>
            </w:trPr>
            <w:tc>
              <w:tcPr>
                <w:tcBorders>
                  <w:top w:color="cccccc" w:space="0" w:sz="8" w:val="single"/>
                  <w:left w:color="000000" w:space="0" w:sz="8" w:val="single"/>
                  <w:right w:color="000000" w:space="0" w:sz="8" w:val="single"/>
                </w:tcBorders>
                <w:shd w:fill="d9d9d9" w:val="clear"/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8F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El aprovechamiento de los mecanismos de participación ciudadana para la mejora de la publicación y difusión de información proactiva.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90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10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left w:color="000000" w:space="0" w:sz="8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91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Ayuda a identificar áreas de oportunidad.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92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20"/>
                    <w:szCs w:val="20"/>
                  </w:rPr>
                  <w:drawing>
                    <wp:inline distB="114300" distT="114300" distL="114300" distR="114300">
                      <wp:extent cx="3151162" cy="1570672"/>
                      <wp:effectExtent b="0" l="0" r="0" t="0"/>
                      <wp:docPr id="319" name="image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6.png"/>
                              <pic:cNvPicPr preferRelativeResize="0"/>
                            </pic:nvPicPr>
                            <pic:blipFill>
                              <a:blip r:embed="rId21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51162" cy="1570672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w: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93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6"/>
                    <w:szCs w:val="16"/>
                    <w:u w:val="single"/>
                    <w:rtl w:val="0"/>
                  </w:rPr>
                  <w:t xml:space="preserve">Información extraída del formulario enviado por el sujeto obligado.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420" w:hRule="atLeast"/>
              <w:tblHeader w:val="0"/>
            </w:trPr>
            <w:tc>
              <w:tcPr>
                <w:gridSpan w:val="4"/>
                <w:shd w:fill="d9d9d9" w:val="clear"/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94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b w:val="1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b w:val="1"/>
                    <w:rtl w:val="0"/>
                  </w:rPr>
                  <w:t xml:space="preserve">4. Efectos positivos generados a partir de la información difundida en el marco de la política de TP (0 a 10)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right w:color="000000" w:space="0" w:sz="8" w:val="single"/>
                </w:tcBorders>
                <w:shd w:fill="d9d9d9" w:val="clear"/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98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El diseño e implementación de mecanismos de evaluación de la política de transparencia proactiva por parte de cada Sujeto Obligado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99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10</w:t>
                </w:r>
              </w:p>
            </w:tc>
            <w:tc>
              <w:tcPr>
                <w:tcBorders>
                  <w:left w:color="000000" w:space="0" w:sz="8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9A">
                <w:pPr>
                  <w:spacing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Facilita la consulta, descarga y análisis de información estadística, apoyando así la toma de decisiones informadas y políticas públicas efectivas orientadas a este grupo poblacional, por parte de las autoridades competentes.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9B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20"/>
                    <w:szCs w:val="20"/>
                  </w:rPr>
                  <w:drawing>
                    <wp:inline distB="114300" distT="114300" distL="114300" distR="114300">
                      <wp:extent cx="2363152" cy="2084735"/>
                      <wp:effectExtent b="0" l="0" r="0" t="0"/>
                      <wp:docPr id="308" name="image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.png"/>
                              <pic:cNvPicPr preferRelativeResize="0"/>
                            </pic:nvPicPr>
                            <pic:blipFill>
                              <a:blip r:embed="rId16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363152" cy="208473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w: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9C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  <w:sz w:val="16"/>
                    <w:szCs w:val="16"/>
                    <w:u w:val="singl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6"/>
                    <w:szCs w:val="16"/>
                    <w:u w:val="single"/>
                    <w:rtl w:val="0"/>
                  </w:rPr>
                  <w:t xml:space="preserve">Información extraída del formulario enviado por el sujeto obligado.</w:t>
                </w:r>
              </w:p>
              <w:p w:rsidR="00000000" w:rsidDel="00000000" w:rsidP="00000000" w:rsidRDefault="00000000" w:rsidRPr="00000000" w14:paraId="0000009D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  <w:sz w:val="16"/>
                    <w:szCs w:val="16"/>
                    <w:u w:val="singl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9E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  <w:sz w:val="16"/>
                    <w:szCs w:val="16"/>
                    <w:u w:val="singl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9F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  <w:sz w:val="16"/>
                    <w:szCs w:val="16"/>
                    <w:u w:val="singl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420" w:hRule="atLeast"/>
              <w:tblHeader w:val="0"/>
            </w:trPr>
            <w:tc>
              <w:tcPr>
                <w:gridSpan w:val="4"/>
                <w:shd w:fill="d9d9d9" w:val="clear"/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A0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b w:val="1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b w:val="1"/>
                    <w:rtl w:val="0"/>
                  </w:rPr>
                  <w:t xml:space="preserve">5. La difusión de la información proactiva en medios distintos al internet (0 a 10)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right w:color="000000" w:space="0" w:sz="8" w:val="single"/>
                </w:tcBorders>
                <w:shd w:fill="d9d9d9" w:val="clear"/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A4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Utilización e implementación de medios alternativos de divulgación de la información proactiva, como radiodifusión, televisión, medios impresos, lonas, perifoneo, pláticas informativas, asesorías, volantes, sistemas de comunicación para personas con discapacidad y otras herramientas específicas dirigidas a grupos con dificultades de uso y acceso a tecnologías de la información.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A5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10</w:t>
                </w:r>
              </w:p>
            </w:tc>
            <w:tc>
              <w:tcPr>
                <w:tcBorders>
                  <w:left w:color="000000" w:space="0" w:sz="8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A6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A7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Se difunde en sitios oficiales y redes sociales.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A8">
                <w:pPr>
                  <w:spacing w:line="240" w:lineRule="auto"/>
                  <w:jc w:val="center"/>
                  <w:rPr>
                    <w:rFonts w:ascii="Palatino Linotype" w:cs="Palatino Linotype" w:eastAsia="Palatino Linotype" w:hAnsi="Palatino Linotype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Arial" w:cs="Arial" w:eastAsia="Arial" w:hAnsi="Arial"/>
                  </w:rPr>
                  <w:drawing>
                    <wp:inline distB="114300" distT="114300" distL="114300" distR="114300">
                      <wp:extent cx="1667827" cy="2163668"/>
                      <wp:effectExtent b="0" l="0" r="0" t="0"/>
                      <wp:docPr id="315" name="image1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6.png"/>
                              <pic:cNvPicPr preferRelativeResize="0"/>
                            </pic:nvPicPr>
                            <pic:blipFill>
                              <a:blip r:embed="rId22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67827" cy="2163668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0A9">
      <w:pPr>
        <w:spacing w:after="240" w:line="276" w:lineRule="auto"/>
        <w:ind w:left="-708" w:firstLine="0"/>
        <w:jc w:val="left"/>
        <w:rPr>
          <w:rFonts w:ascii="Arial" w:cs="Arial" w:eastAsia="Arial" w:hAnsi="Arial"/>
        </w:rPr>
      </w:pPr>
      <w:bookmarkStart w:colFirst="0" w:colLast="0" w:name="_heading=h.uye03zr0ncmu" w:id="4"/>
      <w:bookmarkEnd w:id="4"/>
      <w:r w:rsidDel="00000000" w:rsidR="00000000" w:rsidRPr="00000000">
        <w:rPr>
          <w:rtl w:val="0"/>
        </w:rPr>
      </w:r>
    </w:p>
    <w:sectPr>
      <w:headerReference r:id="rId23" w:type="default"/>
      <w:footerReference r:id="rId24" w:type="default"/>
      <w:pgSz w:h="12240" w:w="15840" w:orient="landscape"/>
      <w:pgMar w:bottom="426" w:top="703" w:left="1701" w:right="1701" w:header="284" w:footer="1251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Calibri"/>
  <w:font w:name="Georgia"/>
  <w:font w:name="Arial"/>
  <w:font w:name="Palatino Linotyp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Arial Black">
    <w:embedRegular w:fontKey="{00000000-0000-0000-0000-000000000000}" r:id="rId5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p w:rsidR="00000000" w:rsidDel="00000000" w:rsidP="00000000" w:rsidRDefault="00000000" w:rsidRPr="00000000" w14:paraId="000000AB">
    <w:pPr>
      <w:jc w:val="center"/>
      <w:rPr>
        <w:rFonts w:ascii="Arial Black" w:cs="Arial Black" w:eastAsia="Arial Black" w:hAnsi="Arial Black"/>
        <w:b w:val="1"/>
        <w:sz w:val="28"/>
        <w:szCs w:val="28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C">
    <w:pPr>
      <w:tabs>
        <w:tab w:val="center" w:leader="none" w:pos="4419"/>
        <w:tab w:val="right" w:leader="none" w:pos="8838"/>
      </w:tabs>
      <w:jc w:val="both"/>
      <w:rPr>
        <w:rFonts w:ascii="Palatino Linotype" w:cs="Palatino Linotype" w:eastAsia="Palatino Linotype" w:hAnsi="Palatino Linotype"/>
        <w:highlight w:val="whit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p w:rsidR="00000000" w:rsidDel="00000000" w:rsidP="00000000" w:rsidRDefault="00000000" w:rsidRPr="00000000" w14:paraId="000000A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ind w:hanging="709"/>
      <w:rPr>
        <w:color w:val="000000"/>
      </w:rPr>
    </w:pPr>
    <w:r w:rsidDel="00000000" w:rsidR="00000000" w:rsidRPr="00000000">
      <w:rPr/>
      <w:drawing>
        <wp:inline distB="0" distT="0" distL="0" distR="0">
          <wp:extent cx="1219200" cy="603250"/>
          <wp:effectExtent b="0" l="0" r="0" t="0"/>
          <wp:docPr descr="https://lh6.googleusercontent.com/jNsTCK7SJZV1G9JWz3KsjecHRN4qJBWoT1yqJ8zI3zdP1eyDVhfsZPKAbxD-9PH4L81amB6R4ly7ryAICARerfuunqGa48sgff2NtmnjPGjMrXalaO6TgZ9QPIAQbCVvAvSzKqdARw2yNhE-5_s2eg" id="313" name="image2.png"/>
          <a:graphic>
            <a:graphicData uri="http://schemas.openxmlformats.org/drawingml/2006/picture">
              <pic:pic>
                <pic:nvPicPr>
                  <pic:cNvPr descr="https://lh6.googleusercontent.com/jNsTCK7SJZV1G9JWz3KsjecHRN4qJBWoT1yqJ8zI3zdP1eyDVhfsZPKAbxD-9PH4L81amB6R4ly7ryAICARerfuunqGa48sgff2NtmnjPGjMrXalaO6TgZ9QPIAQbCVvAvSzKqdARw2yNhE-5_s2eg" id="0" name="image2.png"/>
                  <pic:cNvPicPr preferRelativeResize="0"/>
                </pic:nvPicPr>
                <pic:blipFill>
                  <a:blip r:embed="rId1"/>
                  <a:srcRect b="25358" l="27474" r="25000" t="5795"/>
                  <a:stretch>
                    <a:fillRect/>
                  </a:stretch>
                </pic:blipFill>
                <pic:spPr>
                  <a:xfrm>
                    <a:off x="0" y="0"/>
                    <a:ext cx="1219200" cy="6032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-1084896</wp:posOffset>
          </wp:positionH>
          <wp:positionV relativeFrom="paragraph">
            <wp:posOffset>-85724</wp:posOffset>
          </wp:positionV>
          <wp:extent cx="10086023" cy="7639050"/>
          <wp:effectExtent b="0" l="0" r="0" t="0"/>
          <wp:wrapNone/>
          <wp:docPr descr="Imagen que contiene Gráfico de superficie&#10;&#10;Descripción generada automáticamente" id="307" name="image3.png"/>
          <a:graphic>
            <a:graphicData uri="http://schemas.openxmlformats.org/drawingml/2006/picture">
              <pic:pic>
                <pic:nvPicPr>
                  <pic:cNvPr descr="Imagen que contiene Gráfico de superficie&#10;&#10;Descripción generada automáticamente" id="0" name="image3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086023" cy="763905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MX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Puest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Encabezado">
    <w:name w:val="header"/>
    <w:basedOn w:val="Normal"/>
    <w:link w:val="EncabezadoCar"/>
    <w:uiPriority w:val="99"/>
    <w:unhideWhenUsed w:val="1"/>
    <w:rsid w:val="005709AD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5709AD"/>
    <w:rPr>
      <w:lang w:val="es-MX"/>
    </w:rPr>
  </w:style>
  <w:style w:type="paragraph" w:styleId="Piedepgina">
    <w:name w:val="footer"/>
    <w:basedOn w:val="Normal"/>
    <w:link w:val="PiedepginaCar"/>
    <w:uiPriority w:val="99"/>
    <w:unhideWhenUsed w:val="1"/>
    <w:rsid w:val="005709AD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5709AD"/>
    <w:rPr>
      <w:lang w:val="es-MX"/>
    </w:rPr>
  </w:style>
  <w:style w:type="paragraph" w:styleId="Prrafodelista">
    <w:name w:val="List Paragraph"/>
    <w:basedOn w:val="Normal"/>
    <w:uiPriority w:val="34"/>
    <w:qFormat w:val="1"/>
    <w:rsid w:val="00CA6134"/>
    <w:pPr>
      <w:ind w:left="720"/>
      <w:contextualSpacing w:val="1"/>
    </w:pPr>
  </w:style>
  <w:style w:type="character" w:styleId="Hipervnculo">
    <w:name w:val="Hyperlink"/>
    <w:basedOn w:val="Fuentedeprrafopredeter"/>
    <w:uiPriority w:val="99"/>
    <w:unhideWhenUsed w:val="1"/>
    <w:rsid w:val="00CA6134"/>
    <w:rPr>
      <w:color w:val="0563c1" w:themeColor="hyperlink"/>
      <w:u w:val="single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6"/>
    <w:tblPr>
      <w:tblStyleRowBandSize w:val="1"/>
      <w:tblStyleColBandSize w:val="1"/>
      <w:tblCellMar>
        <w:top w:w="41.0" w:type="dxa"/>
        <w:left w:w="106.0" w:type="dxa"/>
        <w:bottom w:w="0.0" w:type="dxa"/>
        <w:right w:w="67.0" w:type="dxa"/>
      </w:tblCellMar>
    </w:tblPr>
  </w:style>
  <w:style w:type="table" w:styleId="a0" w:customStyle="1">
    <w:basedOn w:val="TableNormal6"/>
    <w:tblPr>
      <w:tblStyleRowBandSize w:val="1"/>
      <w:tblStyleColBandSize w:val="1"/>
      <w:tblCellMar>
        <w:top w:w="41.0" w:type="dxa"/>
        <w:left w:w="107.0" w:type="dxa"/>
        <w:bottom w:w="0.0" w:type="dxa"/>
        <w:right w:w="73.0" w:type="dxa"/>
      </w:tblCellMar>
    </w:tblPr>
  </w:style>
  <w:style w:type="table" w:styleId="a1" w:customStyle="1">
    <w:basedOn w:val="TableNormal6"/>
    <w:tblPr>
      <w:tblStyleRowBandSize w:val="1"/>
      <w:tblStyleColBandSize w:val="1"/>
      <w:tblCellMar>
        <w:top w:w="41.0" w:type="dxa"/>
        <w:left w:w="0.0" w:type="dxa"/>
        <w:bottom w:w="0.0" w:type="dxa"/>
        <w:right w:w="60.0" w:type="dxa"/>
      </w:tblCellMar>
    </w:tblPr>
  </w:style>
  <w:style w:type="table" w:styleId="a2" w:customStyle="1">
    <w:basedOn w:val="TableNormal6"/>
    <w:tblPr>
      <w:tblStyleRowBandSize w:val="1"/>
      <w:tblStyleColBandSize w:val="1"/>
      <w:tblCellMar>
        <w:top w:w="41.0" w:type="dxa"/>
        <w:left w:w="0.0" w:type="dxa"/>
        <w:bottom w:w="0.0" w:type="dxa"/>
        <w:right w:w="62.0" w:type="dxa"/>
      </w:tblCellMar>
    </w:tblPr>
  </w:style>
  <w:style w:type="table" w:styleId="a3" w:customStyle="1">
    <w:basedOn w:val="TableNormal6"/>
    <w:tblPr>
      <w:tblStyleRowBandSize w:val="1"/>
      <w:tblStyleColBandSize w:val="1"/>
      <w:tblCellMar>
        <w:top w:w="41.0" w:type="dxa"/>
        <w:left w:w="107.0" w:type="dxa"/>
        <w:bottom w:w="0.0" w:type="dxa"/>
        <w:right w:w="70.0" w:type="dxa"/>
      </w:tblCellMar>
    </w:tblPr>
  </w:style>
  <w:style w:type="table" w:styleId="a4" w:customStyle="1">
    <w:basedOn w:val="TableNormal6"/>
    <w:tblPr>
      <w:tblStyleRowBandSize w:val="1"/>
      <w:tblStyleColBandSize w:val="1"/>
      <w:tblCellMar>
        <w:top w:w="40.0" w:type="dxa"/>
        <w:left w:w="0.0" w:type="dxa"/>
        <w:bottom w:w="0.0" w:type="dxa"/>
        <w:right w:w="26.0" w:type="dxa"/>
      </w:tblCellMar>
    </w:tblPr>
  </w:style>
  <w:style w:type="table" w:styleId="a5" w:customStyle="1">
    <w:basedOn w:val="TableNormal6"/>
    <w:tblPr>
      <w:tblStyleRowBandSize w:val="1"/>
      <w:tblStyleColBandSize w:val="1"/>
      <w:tblCellMar>
        <w:top w:w="41.0" w:type="dxa"/>
        <w:left w:w="107.0" w:type="dxa"/>
        <w:bottom w:w="0.0" w:type="dxa"/>
        <w:right w:w="71.0" w:type="dxa"/>
      </w:tblCellMar>
    </w:tblPr>
  </w:style>
  <w:style w:type="table" w:styleId="a6" w:customStyle="1">
    <w:basedOn w:val="TableNormal6"/>
    <w:tblPr>
      <w:tblStyleRowBandSize w:val="1"/>
      <w:tblStyleColBandSize w:val="1"/>
      <w:tblCellMar>
        <w:top w:w="40.0" w:type="dxa"/>
        <w:left w:w="0.0" w:type="dxa"/>
        <w:bottom w:w="0.0" w:type="dxa"/>
        <w:right w:w="12.0" w:type="dxa"/>
      </w:tblCellMar>
    </w:tblPr>
  </w:style>
  <w:style w:type="table" w:styleId="a7" w:customStyle="1">
    <w:basedOn w:val="TableNormal6"/>
    <w:tblPr>
      <w:tblStyleRowBandSize w:val="1"/>
      <w:tblStyleColBandSize w:val="1"/>
      <w:tblCellMar>
        <w:top w:w="41.0" w:type="dxa"/>
        <w:left w:w="107.0" w:type="dxa"/>
        <w:bottom w:w="0.0" w:type="dxa"/>
        <w:right w:w="69.0" w:type="dxa"/>
      </w:tblCellMar>
    </w:tblPr>
  </w:style>
  <w:style w:type="table" w:styleId="a8" w:customStyle="1">
    <w:basedOn w:val="TableNormal6"/>
    <w:tblPr>
      <w:tblStyleRowBandSize w:val="1"/>
      <w:tblStyleColBandSize w:val="1"/>
      <w:tblCellMar>
        <w:top w:w="41.0" w:type="dxa"/>
        <w:left w:w="107.0" w:type="dxa"/>
        <w:bottom w:w="0.0" w:type="dxa"/>
        <w:right w:w="70.0" w:type="dxa"/>
      </w:tblCellMar>
    </w:tblPr>
  </w:style>
  <w:style w:type="table" w:styleId="a9" w:customStyle="1">
    <w:basedOn w:val="TableNormal6"/>
    <w:tblPr>
      <w:tblStyleRowBandSize w:val="1"/>
      <w:tblStyleColBandSize w:val="1"/>
      <w:tblCellMar>
        <w:top w:w="41.0" w:type="dxa"/>
        <w:left w:w="107.0" w:type="dxa"/>
        <w:bottom w:w="0.0" w:type="dxa"/>
        <w:right w:w="67.0" w:type="dxa"/>
      </w:tblCellMar>
    </w:tblPr>
  </w:style>
  <w:style w:type="table" w:styleId="aa" w:customStyle="1">
    <w:basedOn w:val="TableNormal6"/>
    <w:tblPr>
      <w:tblStyleRowBandSize w:val="1"/>
      <w:tblStyleColBandSize w:val="1"/>
      <w:tblCellMar>
        <w:top w:w="41.0" w:type="dxa"/>
        <w:left w:w="107.0" w:type="dxa"/>
        <w:bottom w:w="0.0" w:type="dxa"/>
        <w:right w:w="70.0" w:type="dxa"/>
      </w:tblCellMar>
    </w:tblPr>
  </w:style>
  <w:style w:type="table" w:styleId="ab" w:customStyle="1">
    <w:basedOn w:val="TableNormal6"/>
    <w:tblPr>
      <w:tblStyleRowBandSize w:val="1"/>
      <w:tblStyleColBandSize w:val="1"/>
      <w:tblCellMar>
        <w:top w:w="41.0" w:type="dxa"/>
        <w:left w:w="107.0" w:type="dxa"/>
        <w:bottom w:w="0.0" w:type="dxa"/>
        <w:right w:w="71.0" w:type="dxa"/>
      </w:tblCellMar>
    </w:tblPr>
  </w:style>
  <w:style w:type="table" w:styleId="ac" w:customStyle="1">
    <w:basedOn w:val="TableNormal6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d" w:customStyle="1">
    <w:basedOn w:val="TableNormal6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e" w:customStyle="1">
    <w:basedOn w:val="TableNormal6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" w:customStyle="1">
    <w:basedOn w:val="TableNormal6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0" w:customStyle="1">
    <w:basedOn w:val="TableNormal6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1" w:customStyle="1">
    <w:basedOn w:val="TableNormal6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2" w:customStyle="1">
    <w:basedOn w:val="TableNormal6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3" w:customStyle="1">
    <w:basedOn w:val="TableNormal6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4" w:customStyle="1">
    <w:basedOn w:val="TableNormal6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5" w:customStyle="1">
    <w:basedOn w:val="TableNormal6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6" w:customStyle="1">
    <w:basedOn w:val="TableNormal6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7" w:customStyle="1">
    <w:basedOn w:val="TableNormal6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8" w:customStyle="1">
    <w:basedOn w:val="TableNormal6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9" w:customStyle="1">
    <w:basedOn w:val="TableNormal6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a" w:customStyle="1">
    <w:basedOn w:val="TableNormal6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character" w:styleId="Nmerodepgina">
    <w:name w:val="page number"/>
    <w:basedOn w:val="Fuentedeprrafopredeter"/>
    <w:uiPriority w:val="99"/>
    <w:semiHidden w:val="1"/>
    <w:unhideWhenUsed w:val="1"/>
    <w:rsid w:val="00B6330C"/>
  </w:style>
  <w:style w:type="character" w:styleId="Mencinsinresolver1" w:customStyle="1">
    <w:name w:val="Mención sin resolver1"/>
    <w:basedOn w:val="Fuentedeprrafopredeter"/>
    <w:uiPriority w:val="99"/>
    <w:semiHidden w:val="1"/>
    <w:unhideWhenUsed w:val="1"/>
    <w:rsid w:val="001E5A88"/>
    <w:rPr>
      <w:color w:val="605e5c"/>
      <w:shd w:color="auto" w:fill="e1dfdd" w:val="clear"/>
    </w:rPr>
  </w:style>
  <w:style w:type="table" w:styleId="afb" w:customStyle="1">
    <w:basedOn w:val="TableNormal5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c" w:customStyle="1">
    <w:basedOn w:val="TableNormal5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d" w:customStyle="1">
    <w:basedOn w:val="TableNormal5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e" w:customStyle="1">
    <w:basedOn w:val="TableNormal5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" w:customStyle="1">
    <w:basedOn w:val="TableNormal5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0" w:customStyle="1">
    <w:basedOn w:val="TableNormal5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1" w:customStyle="1">
    <w:basedOn w:val="TableNormal5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2" w:customStyle="1">
    <w:basedOn w:val="TableNormal5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3" w:customStyle="1">
    <w:basedOn w:val="TableNormal5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4" w:customStyle="1">
    <w:basedOn w:val="TableNormal5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5" w:customStyle="1">
    <w:basedOn w:val="TableNormal5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6" w:customStyle="1">
    <w:basedOn w:val="TableNormal5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7" w:customStyle="1">
    <w:basedOn w:val="TableNormal5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8" w:customStyle="1">
    <w:basedOn w:val="TableNormal5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9" w:customStyle="1">
    <w:basedOn w:val="TableNormal5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a" w:customStyle="1">
    <w:basedOn w:val="TableNormal5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b" w:customStyle="1">
    <w:basedOn w:val="TableNormal5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c" w:customStyle="1">
    <w:basedOn w:val="TableNormal5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d" w:customStyle="1">
    <w:basedOn w:val="TableNormal5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e" w:customStyle="1">
    <w:basedOn w:val="TableNormal5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f" w:customStyle="1">
    <w:basedOn w:val="TableNormal5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f0" w:customStyle="1">
    <w:basedOn w:val="TableNormal5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f1" w:customStyle="1">
    <w:basedOn w:val="TableNormal5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f2" w:customStyle="1">
    <w:basedOn w:val="TableNormal5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f3" w:customStyle="1">
    <w:basedOn w:val="TableNormal5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f4" w:customStyle="1">
    <w:basedOn w:val="TableNormal5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f5" w:customStyle="1">
    <w:basedOn w:val="TableNormal5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f6" w:customStyle="1">
    <w:basedOn w:val="TableNormal5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f7" w:customStyle="1">
    <w:basedOn w:val="TableNormal3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f8" w:customStyle="1">
    <w:basedOn w:val="TableNormal3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f9" w:customStyle="1">
    <w:basedOn w:val="TableNormal3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fa" w:customStyle="1">
    <w:basedOn w:val="TableNormal3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fb" w:customStyle="1">
    <w:basedOn w:val="TableNormal3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fc" w:customStyle="1">
    <w:basedOn w:val="TableNormal3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fd" w:customStyle="1">
    <w:basedOn w:val="TableNormal3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fe" w:customStyle="1">
    <w:basedOn w:val="TableNormal3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ff" w:customStyle="1">
    <w:basedOn w:val="TableNormal3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ff0" w:customStyle="1">
    <w:basedOn w:val="TableNormal3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ff1" w:customStyle="1">
    <w:basedOn w:val="TableNormal3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ff2" w:customStyle="1">
    <w:basedOn w:val="TableNormal3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ff3" w:customStyle="1">
    <w:basedOn w:val="TableNormal3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ff4" w:customStyle="1">
    <w:basedOn w:val="TableNormal3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paragraph" w:styleId="NormalWeb">
    <w:name w:val="Normal (Web)"/>
    <w:basedOn w:val="Normal"/>
    <w:uiPriority w:val="99"/>
    <w:unhideWhenUsed w:val="1"/>
    <w:rsid w:val="0019507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17.png"/><Relationship Id="rId11" Type="http://schemas.openxmlformats.org/officeDocument/2006/relationships/image" Target="media/image7.png"/><Relationship Id="rId22" Type="http://schemas.openxmlformats.org/officeDocument/2006/relationships/image" Target="media/image16.png"/><Relationship Id="rId10" Type="http://schemas.openxmlformats.org/officeDocument/2006/relationships/image" Target="media/image13.png"/><Relationship Id="rId21" Type="http://schemas.openxmlformats.org/officeDocument/2006/relationships/image" Target="media/image6.png"/><Relationship Id="rId13" Type="http://schemas.openxmlformats.org/officeDocument/2006/relationships/image" Target="media/image9.png"/><Relationship Id="rId24" Type="http://schemas.openxmlformats.org/officeDocument/2006/relationships/footer" Target="footer1.xml"/><Relationship Id="rId12" Type="http://schemas.openxmlformats.org/officeDocument/2006/relationships/image" Target="media/image1.png"/><Relationship Id="rId23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1.png"/><Relationship Id="rId15" Type="http://schemas.openxmlformats.org/officeDocument/2006/relationships/image" Target="media/image15.png"/><Relationship Id="rId14" Type="http://schemas.openxmlformats.org/officeDocument/2006/relationships/image" Target="media/image5.png"/><Relationship Id="rId17" Type="http://schemas.openxmlformats.org/officeDocument/2006/relationships/image" Target="media/image14.png"/><Relationship Id="rId16" Type="http://schemas.openxmlformats.org/officeDocument/2006/relationships/image" Target="media/image4.png"/><Relationship Id="rId5" Type="http://schemas.openxmlformats.org/officeDocument/2006/relationships/styles" Target="styles.xml"/><Relationship Id="rId19" Type="http://schemas.openxmlformats.org/officeDocument/2006/relationships/image" Target="media/image8.png"/><Relationship Id="rId6" Type="http://schemas.openxmlformats.org/officeDocument/2006/relationships/customXml" Target="../customXML/item1.xml"/><Relationship Id="rId18" Type="http://schemas.openxmlformats.org/officeDocument/2006/relationships/image" Target="media/image10.png"/><Relationship Id="rId7" Type="http://schemas.openxmlformats.org/officeDocument/2006/relationships/image" Target="media/image12.png"/><Relationship Id="rId8" Type="http://schemas.openxmlformats.org/officeDocument/2006/relationships/hyperlink" Target="https://infosipinna.edomex.gob.mx/index.html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alatinoLinotype-regular.ttf"/><Relationship Id="rId2" Type="http://schemas.openxmlformats.org/officeDocument/2006/relationships/font" Target="fonts/PalatinoLinotype-bold.ttf"/><Relationship Id="rId3" Type="http://schemas.openxmlformats.org/officeDocument/2006/relationships/font" Target="fonts/PalatinoLinotype-italic.ttf"/><Relationship Id="rId4" Type="http://schemas.openxmlformats.org/officeDocument/2006/relationships/font" Target="fonts/PalatinoLinotype-boldItalic.ttf"/><Relationship Id="rId5" Type="http://schemas.openxmlformats.org/officeDocument/2006/relationships/font" Target="fonts/ArialBlack-regular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+eY5YbYB1Wz40hsirhzWURHnCg==">CgMxLjAaHwoBMBIaChgICVIUChJ0YWJsZS51YTBrZjNkc2poNHMyCWguM3pueXNoNzIJaC4zMGowemxsMg5oLm9sZXU5d3hydnRnbDIOaC55MmZkbmJvZnRoMjkyDmgudXllMDN6cjBuY211OAByITFvd0pYR1FYbHJnX0s0UE1aNnNnRHFISU9xQmgxM3JUbQ==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2023-07-10T20:15:00Z</dcterms:created>
  <dc:creator>Jonathan Guillermo Munoz Acevedo</dc:creator>
</cp:coreProperties>
</file>