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FICHA TÉCNICA</w:t>
      </w:r>
      <w:r w:rsidDel="00000000" w:rsidR="00000000" w:rsidRPr="00000000">
        <w:rPr>
          <w:rtl w:val="0"/>
        </w:rPr>
      </w:r>
    </w:p>
    <w:tbl>
      <w:tblPr>
        <w:tblStyle w:val="Table1"/>
        <w:tblW w:w="14025.0" w:type="dxa"/>
        <w:jc w:val="left"/>
        <w:tblInd w:w="-645.0" w:type="dxa"/>
        <w:tblLayout w:type="fixed"/>
        <w:tblLook w:val="0400"/>
      </w:tblPr>
      <w:tblGrid>
        <w:gridCol w:w="4950"/>
        <w:gridCol w:w="4140"/>
        <w:gridCol w:w="4935"/>
        <w:tblGridChange w:id="0">
          <w:tblGrid>
            <w:gridCol w:w="4950"/>
            <w:gridCol w:w="4140"/>
            <w:gridCol w:w="4935"/>
          </w:tblGrid>
        </w:tblGridChange>
      </w:tblGrid>
      <w:tr>
        <w:trPr>
          <w:cantSplit w:val="0"/>
          <w:trHeight w:val="496" w:hRule="atLeast"/>
          <w:tblHeader w:val="1"/>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 </w:t>
            </w:r>
          </w:p>
          <w:p w:rsidR="00000000" w:rsidDel="00000000" w:rsidP="00000000" w:rsidRDefault="00000000" w:rsidRPr="00000000" w14:paraId="00000005">
            <w:pPr>
              <w:spacing w:after="0" w:lineRule="auto"/>
              <w:ind w:left="0" w:firstLine="0"/>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Acceso a Saimex para solicitudes de IMIFE</w:t>
            </w:r>
          </w:p>
        </w:tc>
      </w:tr>
      <w:tr>
        <w:trPr>
          <w:cantSplit w:val="0"/>
          <w:trHeight w:val="544"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9">
            <w:pPr>
              <w:spacing w:after="0" w:lineRule="auto"/>
              <w:ind w:left="0" w:firstLine="0"/>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Instituto Mexiquense de Infraestructura Física y Educativa</w:t>
            </w:r>
          </w:p>
        </w:tc>
      </w:tr>
      <w:tr>
        <w:trPr>
          <w:cantSplit w:val="0"/>
          <w:trHeight w:val="276"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D">
            <w:pPr>
              <w:spacing w:after="0" w:lineRule="auto"/>
              <w:ind w:left="0" w:firstLine="0"/>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Unidad de Transparencia</w:t>
            </w:r>
          </w:p>
        </w:tc>
      </w:tr>
      <w:tr>
        <w:trPr>
          <w:cantSplit w:val="0"/>
          <w:trHeight w:val="642.110473632812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p>
          <w:p w:rsidR="00000000" w:rsidDel="00000000" w:rsidP="00000000" w:rsidRDefault="00000000" w:rsidRPr="00000000" w14:paraId="00000011">
            <w:pPr>
              <w:widowControl w:val="0"/>
              <w:spacing w:after="0" w:line="240" w:lineRule="auto"/>
              <w:jc w:val="center"/>
              <w:rPr>
                <w:rFonts w:ascii="Palatino Linotype" w:cs="Palatino Linotype" w:eastAsia="Palatino Linotype" w:hAnsi="Palatino Linotype"/>
                <w:highlight w:val="white"/>
              </w:rPr>
            </w:pPr>
            <w:r w:rsidDel="00000000" w:rsidR="00000000" w:rsidRPr="00000000">
              <w:rPr>
                <w:rFonts w:ascii="Palatino Linotype" w:cs="Palatino Linotype" w:eastAsia="Palatino Linotype" w:hAnsi="Palatino Linotype"/>
                <w:rtl w:val="0"/>
              </w:rPr>
              <w:t xml:space="preserve">No proporciona información </w:t>
            </w:r>
            <w:r w:rsidDel="00000000" w:rsidR="00000000" w:rsidRPr="00000000">
              <w:rPr>
                <w:rtl w:val="0"/>
              </w:rPr>
            </w:r>
          </w:p>
        </w:tc>
      </w:tr>
      <w:tr>
        <w:trPr>
          <w:cantSplit w:val="0"/>
          <w:trHeight w:val="420"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highlight w:val="whit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 </w:t>
            </w:r>
            <w:r w:rsidDel="00000000" w:rsidR="00000000" w:rsidRPr="00000000">
              <w:rPr>
                <w:rFonts w:ascii="Palatino Linotype" w:cs="Palatino Linotype" w:eastAsia="Palatino Linotype" w:hAnsi="Palatino Linotype"/>
                <w:rtl w:val="0"/>
              </w:rPr>
              <w:t xml:space="preserve">Aun no es vigente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 </w:t>
            </w:r>
            <w:r w:rsidDel="00000000" w:rsidR="00000000" w:rsidRPr="00000000">
              <w:rPr>
                <w:rFonts w:ascii="Palatino Linotype" w:cs="Palatino Linotype" w:eastAsia="Palatino Linotype" w:hAnsi="Palatino Linotype"/>
                <w:rtl w:val="0"/>
              </w:rPr>
              <w:t xml:space="preserve">Estatal</w:t>
            </w:r>
            <w:r w:rsidDel="00000000" w:rsidR="00000000" w:rsidRPr="00000000">
              <w:rPr>
                <w:rtl w:val="0"/>
              </w:rPr>
            </w:r>
          </w:p>
        </w:tc>
      </w:tr>
      <w:tr>
        <w:trPr>
          <w:cantSplit w:val="0"/>
          <w:trHeight w:val="37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Estado de </w:t>
            </w:r>
            <w:r w:rsidDel="00000000" w:rsidR="00000000" w:rsidRPr="00000000">
              <w:rPr>
                <w:rFonts w:ascii="Palatino Linotype" w:cs="Palatino Linotype" w:eastAsia="Palatino Linotype" w:hAnsi="Palatino Linotype"/>
                <w:rtl w:val="0"/>
              </w:rPr>
              <w:t xml:space="preserve">México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 </w:t>
            </w:r>
            <w:r w:rsidDel="00000000" w:rsidR="00000000" w:rsidRPr="00000000">
              <w:rPr>
                <w:rFonts w:ascii="Palatino Linotype" w:cs="Palatino Linotype" w:eastAsia="Palatino Linotype" w:hAnsi="Palatino Linotype"/>
                <w:rtl w:val="0"/>
              </w:rPr>
              <w:t xml:space="preserve">0</w:t>
            </w:r>
            <w:r w:rsidDel="00000000" w:rsidR="00000000" w:rsidRPr="00000000">
              <w:rPr>
                <w:rtl w:val="0"/>
              </w:rPr>
            </w:r>
          </w:p>
        </w:tc>
      </w:tr>
    </w:tbl>
    <w:p w:rsidR="00000000" w:rsidDel="00000000" w:rsidP="00000000" w:rsidRDefault="00000000" w:rsidRPr="00000000" w14:paraId="00000019">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13905.0" w:type="dxa"/>
        <w:jc w:val="left"/>
        <w:tblInd w:w="-572.0" w:type="dxa"/>
        <w:tblLayout w:type="fixed"/>
        <w:tblLook w:val="0400"/>
      </w:tblPr>
      <w:tblGrid>
        <w:gridCol w:w="6165"/>
        <w:gridCol w:w="7740"/>
        <w:tblGridChange w:id="0">
          <w:tblGrid>
            <w:gridCol w:w="6165"/>
            <w:gridCol w:w="7740"/>
          </w:tblGrid>
        </w:tblGridChange>
      </w:tblGrid>
      <w:tr>
        <w:trPr>
          <w:cantSplit w:val="0"/>
          <w:trHeight w:val="60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usuario podrá conectarse desde cualquier equipo con acceso a internet y realizar una solicitud de acceso a la información. </w:t>
            </w:r>
          </w:p>
        </w:tc>
      </w:tr>
      <w:tr>
        <w:trPr>
          <w:cantSplit w:val="0"/>
          <w:trHeight w:val="977.41430664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p>
          <w:p w:rsidR="00000000" w:rsidDel="00000000" w:rsidP="00000000" w:rsidRDefault="00000000" w:rsidRPr="00000000" w14:paraId="0000001E">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Realizar el trámite de acceso a la información en lengua mazahua.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Para atender a un grupo vulnerable de personas, para acercarlos a poder realizar una solicitud de acceso a la información.</w:t>
            </w:r>
          </w:p>
        </w:tc>
      </w:tr>
      <w:tr>
        <w:trPr>
          <w:cantSplit w:val="0"/>
          <w:trHeight w:val="317.1104736328124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highlight w:val="white"/>
                <w:u w:val="none"/>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Beneficios o e</w:t>
            </w:r>
            <w:r w:rsidDel="00000000" w:rsidR="00000000" w:rsidRPr="00000000">
              <w:rPr>
                <w:rFonts w:ascii="Palatino Linotype" w:cs="Palatino Linotype" w:eastAsia="Palatino Linotype" w:hAnsi="Palatino Linotype"/>
                <w:b w:val="1"/>
                <w:i w:val="0"/>
                <w:smallCaps w:val="0"/>
                <w:strike w:val="0"/>
                <w:color w:val="000000"/>
                <w:highlight w:val="white"/>
                <w:u w:val="none"/>
                <w:vertAlign w:val="baseline"/>
                <w:rtl w:val="0"/>
              </w:rPr>
              <w:t xml:space="preserve">fectos positivos generados a partir de la información difundida.</w:t>
            </w:r>
          </w:p>
          <w:p w:rsidR="00000000" w:rsidDel="00000000" w:rsidP="00000000" w:rsidRDefault="00000000" w:rsidRPr="00000000" w14:paraId="00000022">
            <w:pPr>
              <w:spacing w:after="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Aún no hay beneficios </w:t>
            </w:r>
          </w:p>
        </w:tc>
      </w:tr>
      <w:tr>
        <w:trPr>
          <w:cantSplit w:val="0"/>
          <w:trHeight w:val="821"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¿La práctica cuenta con mecanismos de participación ciudadana durante el proceso?</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cuenta</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6">
            <w:pPr>
              <w:spacing w:after="0" w:line="24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¿La práctica cuenta con algún registro del número de consultas realizadas a la información difundida?</w:t>
            </w:r>
            <w:r w:rsidDel="00000000" w:rsidR="00000000" w:rsidRPr="00000000">
              <w:rPr>
                <w:rtl w:val="0"/>
              </w:rPr>
            </w:r>
          </w:p>
          <w:p w:rsidR="00000000" w:rsidDel="00000000" w:rsidP="00000000" w:rsidRDefault="00000000" w:rsidRPr="00000000" w14:paraId="00000027">
            <w:pPr>
              <w:spacing w:after="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cuenta</w:t>
            </w:r>
          </w:p>
        </w:tc>
      </w:tr>
      <w:tr>
        <w:trPr>
          <w:cantSplit w:val="0"/>
          <w:trHeight w:val="97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8">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p w:rsidR="00000000" w:rsidDel="00000000" w:rsidP="00000000" w:rsidRDefault="00000000" w:rsidRPr="00000000" w14:paraId="00000029">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es solo es un proyecto, por ende no es posible evaluar conforme a los criterios establecidos en la normatividad vigente, al no cumplir  con las características de accesible, confiable, comprensible, oportuna, veraz, congruente, completa, actual, verificable y que pueda transformarse en conocimiento público útil, así como la difusión y contabilización de la información, al no generar la participación ciudadana,  en ese sentido la calificación de la propuesta es de 0 (cero).</w:t>
            </w:r>
          </w:p>
        </w:tc>
      </w:tr>
      <w:tr>
        <w:trPr>
          <w:cantSplit w:val="0"/>
          <w:trHeight w:val="82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B">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 </w:t>
            </w:r>
          </w:p>
          <w:p w:rsidR="00000000" w:rsidDel="00000000" w:rsidP="00000000" w:rsidRDefault="00000000" w:rsidRPr="00000000" w14:paraId="0000002C">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a generar acercamientos con la población objetivo, para detectar las necesidades de información y detonar la participación ciudadana, se recomienda que se implementen los atributos de calidad de la información (accesible, confiable, comprensible, oportuna, veraz, congruente, completa, actual, verificable y datos abiertos ), mecanismos de retroalimentación de las personas a las que va dirigida (por ejemplo: buzón de quejas y sugerencias, encuestas de satisfacción, etc.), medir el impacto de la información publicada mediante contador de visitas o listas de asistencias, para detectar el aprovechamiento de los contenidos y los beneficios obtenidos a partir de la publicación de la información y darla a conocer mediante medios de difusión afines a las personas a las que se dirige.</w:t>
            </w:r>
          </w:p>
        </w:tc>
      </w:tr>
    </w:tbl>
    <w:p w:rsidR="00000000" w:rsidDel="00000000" w:rsidP="00000000" w:rsidRDefault="00000000" w:rsidRPr="00000000" w14:paraId="0000002E">
      <w:pPr>
        <w:spacing w:after="0" w:line="240" w:lineRule="auto"/>
        <w:ind w:left="-708" w:firstLine="0"/>
        <w:jc w:val="left"/>
        <w:rPr>
          <w:rFonts w:ascii="Palatino Linotype" w:cs="Palatino Linotype" w:eastAsia="Palatino Linotype" w:hAnsi="Palatino Linotype"/>
          <w:b w:val="1"/>
        </w:rPr>
      </w:pPr>
      <w:bookmarkStart w:colFirst="0" w:colLast="0" w:name="_heading=h.57j57ri8u14" w:id="1"/>
      <w:bookmarkEnd w:id="1"/>
      <w:r w:rsidDel="00000000" w:rsidR="00000000" w:rsidRPr="00000000">
        <w:rPr>
          <w:rtl w:val="0"/>
        </w:rPr>
      </w:r>
    </w:p>
    <w:p w:rsidR="00000000" w:rsidDel="00000000" w:rsidP="00000000" w:rsidRDefault="00000000" w:rsidRPr="00000000" w14:paraId="0000002F">
      <w:pPr>
        <w:spacing w:after="0" w:line="240" w:lineRule="auto"/>
        <w:ind w:left="-708" w:firstLine="0"/>
        <w:jc w:val="center"/>
        <w:rPr>
          <w:rFonts w:ascii="Palatino Linotype" w:cs="Palatino Linotype" w:eastAsia="Palatino Linotype" w:hAnsi="Palatino Linotype"/>
          <w:b w:val="1"/>
        </w:rPr>
      </w:pPr>
      <w:bookmarkStart w:colFirst="0" w:colLast="0" w:name="_heading=h.y2fdnbofth29" w:id="2"/>
      <w:bookmarkEnd w:id="2"/>
      <w:r w:rsidDel="00000000" w:rsidR="00000000" w:rsidRPr="00000000">
        <w:rPr>
          <w:rtl w:val="0"/>
        </w:rPr>
      </w:r>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sectPr>
      <w:headerReference r:id="rId7" w:type="default"/>
      <w:footerReference r:id="rId8" w:type="default"/>
      <w:pgSz w:h="12240" w:w="15840" w:orient="landscape"/>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310" name="image1.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1.png"/>
                  <pic:cNvPicPr preferRelativeResize="0"/>
                </pic:nvPicPr>
                <pic:blipFill>
                  <a:blip r:embed="rId1"/>
                  <a:srcRect b="25357" l="27474" r="25000" t="5795"/>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-933442</wp:posOffset>
          </wp:positionH>
          <wp:positionV relativeFrom="paragraph">
            <wp:posOffset>-85719</wp:posOffset>
          </wp:positionV>
          <wp:extent cx="9926003" cy="7686675"/>
          <wp:effectExtent b="0" l="0" r="0" t="0"/>
          <wp:wrapNone/>
          <wp:docPr descr="Imagen que contiene Gráfico de superficie&#10;&#10;Descripción generada automáticamente" id="309" name="image2.png"/>
          <a:graphic>
            <a:graphicData uri="http://schemas.openxmlformats.org/drawingml/2006/picture">
              <pic:pic>
                <pic:nvPicPr>
                  <pic:cNvPr descr="Imagen que contiene Gráfico de superficie&#10;&#10;Descripción generada automáticamente" id="0" name="image2.png"/>
                  <pic:cNvPicPr preferRelativeResize="0"/>
                </pic:nvPicPr>
                <pic:blipFill>
                  <a:blip r:embed="rId2"/>
                  <a:srcRect b="0" l="0" r="0" t="0"/>
                  <a:stretch>
                    <a:fillRect/>
                  </a:stretch>
                </pic:blipFill>
                <pic:spPr>
                  <a:xfrm>
                    <a:off x="0" y="0"/>
                    <a:ext cx="9926003" cy="7686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0YDEG5JKSENR7ZYXlPanVVfIg==">CgMxLjAyCWguMzBqMHpsbDINaC41N2o1N3JpOHUxNDIOaC55MmZkbmJvZnRoMjk4AHIhMTVlallyV25XSl9CWU9mbWEwRWZkVmJ3dFFEQWg0RDAw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