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FICHA TÉCNICA</w:t>
      </w:r>
      <w:r w:rsidDel="00000000" w:rsidR="00000000" w:rsidRPr="00000000">
        <w:rPr>
          <w:rtl w:val="0"/>
        </w:rPr>
      </w:r>
    </w:p>
    <w:tbl>
      <w:tblPr>
        <w:tblStyle w:val="Table1"/>
        <w:tblW w:w="14025.0" w:type="dxa"/>
        <w:jc w:val="left"/>
        <w:tblInd w:w="-645.0" w:type="dxa"/>
        <w:tblLayout w:type="fixed"/>
        <w:tblLook w:val="0400"/>
      </w:tblPr>
      <w:tblGrid>
        <w:gridCol w:w="4950"/>
        <w:gridCol w:w="4140"/>
        <w:gridCol w:w="4935"/>
        <w:tblGridChange w:id="0">
          <w:tblGrid>
            <w:gridCol w:w="4950"/>
            <w:gridCol w:w="4140"/>
            <w:gridCol w:w="4935"/>
          </w:tblGrid>
        </w:tblGridChange>
      </w:tblGrid>
      <w:tr>
        <w:trPr>
          <w:cantSplit w:val="0"/>
          <w:trHeight w:val="496" w:hRule="atLeast"/>
          <w:tblHeader w:val="1"/>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Pr>
              <w:drawing>
                <wp:inline distB="114300" distT="114300" distL="114300" distR="114300">
                  <wp:extent cx="3009900" cy="1625600"/>
                  <wp:effectExtent b="0" l="0" r="0" t="0"/>
                  <wp:docPr id="313"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3009900" cy="1625600"/>
                          </a:xfrm>
                          <a:prstGeom prst="rect"/>
                          <a:ln/>
                        </pic:spPr>
                      </pic:pic>
                    </a:graphicData>
                  </a:graphic>
                </wp:inline>
              </w:drawing>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 </w:t>
            </w:r>
          </w:p>
          <w:p w:rsidR="00000000" w:rsidDel="00000000" w:rsidP="00000000" w:rsidRDefault="00000000" w:rsidRPr="00000000" w14:paraId="00000005">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“Obras públicas ejecutadas”</w:t>
            </w:r>
          </w:p>
        </w:tc>
      </w:tr>
      <w:tr>
        <w:trPr>
          <w:cantSplit w:val="0"/>
          <w:trHeight w:val="544"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Secretaría de Movilidad</w:t>
            </w:r>
          </w:p>
        </w:tc>
      </w:tr>
      <w:tr>
        <w:trPr>
          <w:cantSplit w:val="0"/>
          <w:trHeight w:val="276"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D">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Unidad de Transparencia </w:t>
            </w:r>
          </w:p>
        </w:tc>
      </w:tr>
      <w:tr>
        <w:trPr>
          <w:cantSplit w:val="0"/>
          <w:trHeight w:val="642.1104736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1">
            <w:pPr>
              <w:spacing w:after="0" w:lineRule="auto"/>
              <w:jc w:val="center"/>
              <w:rPr>
                <w:rFonts w:ascii="Palatino Linotype" w:cs="Palatino Linotype" w:eastAsia="Palatino Linotype" w:hAnsi="Palatino Linotype"/>
                <w:highlight w:val="white"/>
              </w:rPr>
            </w:pPr>
            <w:hyperlink r:id="rId8">
              <w:r w:rsidDel="00000000" w:rsidR="00000000" w:rsidRPr="00000000">
                <w:rPr>
                  <w:rFonts w:ascii="Palatino Linotype" w:cs="Palatino Linotype" w:eastAsia="Palatino Linotype" w:hAnsi="Palatino Linotype"/>
                  <w:color w:val="1155cc"/>
                  <w:highlight w:val="white"/>
                  <w:u w:val="single"/>
                  <w:rtl w:val="0"/>
                </w:rPr>
                <w:t xml:space="preserve">https://smovilidadinformatica.com.mx/ColibriAnt/inicio.jsp</w:t>
              </w:r>
            </w:hyperlink>
            <w:r w:rsidDel="00000000" w:rsidR="00000000" w:rsidRPr="00000000">
              <w:rPr>
                <w:rFonts w:ascii="Palatino Linotype" w:cs="Palatino Linotype" w:eastAsia="Palatino Linotype" w:hAnsi="Palatino Linotype"/>
                <w:highlight w:val="white"/>
                <w:rtl w:val="0"/>
              </w:rPr>
              <w:t xml:space="preserve"> </w:t>
            </w:r>
            <w:r w:rsidDel="00000000" w:rsidR="00000000" w:rsidRPr="00000000">
              <w:rPr>
                <w:rtl w:val="0"/>
              </w:rPr>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 </w:t>
            </w:r>
            <w:r w:rsidDel="00000000" w:rsidR="00000000" w:rsidRPr="00000000">
              <w:rPr>
                <w:rFonts w:ascii="Palatino Linotype" w:cs="Palatino Linotype" w:eastAsia="Palatino Linotype" w:hAnsi="Palatino Linotype"/>
                <w:rtl w:val="0"/>
              </w:rPr>
              <w:t xml:space="preserve">Vigente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  </w:t>
            </w:r>
            <w:r w:rsidDel="00000000" w:rsidR="00000000" w:rsidRPr="00000000">
              <w:rPr>
                <w:rFonts w:ascii="Palatino Linotype" w:cs="Palatino Linotype" w:eastAsia="Palatino Linotype" w:hAnsi="Palatino Linotype"/>
                <w:rtl w:val="0"/>
              </w:rPr>
              <w:t xml:space="preserve">Estatal</w:t>
            </w:r>
            <w:r w:rsidDel="00000000" w:rsidR="00000000" w:rsidRPr="00000000">
              <w:rPr>
                <w:rtl w:val="0"/>
              </w:rPr>
            </w:r>
          </w:p>
        </w:tc>
      </w:tr>
      <w:tr>
        <w:trPr>
          <w:cantSplit w:val="0"/>
          <w:trHeight w:val="37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Estado de </w:t>
            </w:r>
            <w:r w:rsidDel="00000000" w:rsidR="00000000" w:rsidRPr="00000000">
              <w:rPr>
                <w:rFonts w:ascii="Palatino Linotype" w:cs="Palatino Linotype" w:eastAsia="Palatino Linotype" w:hAnsi="Palatino Linotype"/>
                <w:rtl w:val="0"/>
              </w:rPr>
              <w:t xml:space="preserve">México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 </w:t>
            </w:r>
            <w:r w:rsidDel="00000000" w:rsidR="00000000" w:rsidRPr="00000000">
              <w:rPr>
                <w:rFonts w:ascii="Palatino Linotype" w:cs="Palatino Linotype" w:eastAsia="Palatino Linotype" w:hAnsi="Palatino Linotype"/>
                <w:rtl w:val="0"/>
              </w:rPr>
              <w:t xml:space="preserve">100</w:t>
            </w:r>
            <w:r w:rsidDel="00000000" w:rsidR="00000000" w:rsidRPr="00000000">
              <w:rPr>
                <w:rtl w:val="0"/>
              </w:rPr>
            </w:r>
          </w:p>
        </w:tc>
      </w:tr>
    </w:tbl>
    <w:p w:rsidR="00000000" w:rsidDel="00000000" w:rsidP="00000000" w:rsidRDefault="00000000" w:rsidRPr="00000000" w14:paraId="00000019">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3905.0" w:type="dxa"/>
        <w:jc w:val="left"/>
        <w:tblInd w:w="-572.0" w:type="dxa"/>
        <w:tblLayout w:type="fixed"/>
        <w:tblLook w:val="0400"/>
      </w:tblPr>
      <w:tblGrid>
        <w:gridCol w:w="6195"/>
        <w:gridCol w:w="7710"/>
        <w:tblGridChange w:id="0">
          <w:tblGrid>
            <w:gridCol w:w="6195"/>
            <w:gridCol w:w="7710"/>
          </w:tblGrid>
        </w:tblGridChange>
      </w:tblGrid>
      <w:tr>
        <w:trPr>
          <w:cantSplit w:val="0"/>
          <w:trHeight w:val="1973.629638671874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B">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un sitio web donde el ciudadano puede navegar y acceder a datos de interés público sobre las Obras públicas ejecutadas comparte la convocatoria o invitaciones emitidas del proceso licitatorio, dictámenes, convenios, actas, contratos, informes de los avances, acta de entrega - recepción, informando de manera puntual quiénes son los contratistas, así como el monto invertido y ejecutado, de una manera clara y sencilla mediante infografías, permitiendo la rendición de cuentas. Promueve la participación ciudadana mediante una encuesta de satisfacción respecto de los contenidos publicados, además presenta en formato de datos abiertos CSV el listado de dichas obras.</w:t>
            </w:r>
          </w:p>
        </w:tc>
      </w:tr>
      <w:tr>
        <w:trPr>
          <w:cantSplit w:val="0"/>
          <w:trHeight w:val="1220.72375488281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p>
          <w:p w:rsidR="00000000" w:rsidDel="00000000" w:rsidP="00000000" w:rsidRDefault="00000000" w:rsidRPr="00000000" w14:paraId="0000001E">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Dar a conocer a la ciudadanía las etapas de las obras públicas ejecutadas de licitación pública, invitación restringida y adjudicación directa, que se manejan en la Secretaría de Movilidad y que cuentan con presupuesto público.</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p>
          <w:p w:rsidR="00000000" w:rsidDel="00000000" w:rsidP="00000000" w:rsidRDefault="00000000" w:rsidRPr="00000000" w14:paraId="00000020">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Surge de la necesidad imperante que tiene esta Secretaría de elevar en forma sostenida la publicación de información y bases de datos relevantes en formato de datos abiertos de información pública, que permitan la rendición de cuentas, promuevan la participación activa de la sociedad.</w:t>
            </w:r>
          </w:p>
        </w:tc>
      </w:tr>
      <w:tr>
        <w:trPr>
          <w:cantSplit w:val="0"/>
          <w:trHeight w:val="992.41430664062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highlight w:val="white"/>
                <w:u w:val="none"/>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u w:val="none"/>
                <w:vertAlign w:val="baseline"/>
                <w:rtl w:val="0"/>
              </w:rPr>
              <w:t xml:space="preserve">fectos positivos generados a partir de la información difundida.</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Pleno conocimiento de la manera en la que se ejerce el recurso asignado a cada proyecto.</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highlight w:val="white"/>
                <w:rtl w:val="0"/>
              </w:rPr>
              <w:t xml:space="preserve">La ciudadanía tendrá un mejor control, seguimiento y vigilancia de los recursos p</w:t>
            </w:r>
            <w:r w:rsidDel="00000000" w:rsidR="00000000" w:rsidRPr="00000000">
              <w:rPr>
                <w:rFonts w:ascii="Palatino Linotype" w:cs="Palatino Linotype" w:eastAsia="Palatino Linotype" w:hAnsi="Palatino Linotype"/>
                <w:rtl w:val="0"/>
              </w:rPr>
              <w:t xml:space="preserve">úblicos utilizados en materia de obra en sus comunidades.</w:t>
            </w:r>
          </w:p>
        </w:tc>
      </w:tr>
      <w:tr>
        <w:trPr>
          <w:cantSplit w:val="0"/>
          <w:trHeight w:val="8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a través de su encuesta de satisfacción </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7">
            <w:pPr>
              <w:spacing w:after="0" w:line="24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¿La práctica cuenta con algún registro del número de consultas realizadas a la información difundida?</w:t>
            </w:r>
            <w:r w:rsidDel="00000000" w:rsidR="00000000" w:rsidRPr="00000000">
              <w:rPr>
                <w:rtl w:val="0"/>
              </w:rPr>
            </w:r>
          </w:p>
          <w:p w:rsidR="00000000" w:rsidDel="00000000" w:rsidP="00000000" w:rsidRDefault="00000000" w:rsidRPr="00000000" w14:paraId="00000028">
            <w:pPr>
              <w:spacing w:after="0"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Si, cuenta con contador de visitas.</w:t>
            </w:r>
            <w:r w:rsidDel="00000000" w:rsidR="00000000" w:rsidRPr="00000000">
              <w:rPr>
                <w:rtl w:val="0"/>
              </w:rPr>
            </w:r>
          </w:p>
        </w:tc>
      </w:tr>
      <w:tr>
        <w:trPr>
          <w:cantSplit w:val="0"/>
          <w:trHeight w:val="97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9">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Observaciones:</w:t>
            </w:r>
            <w:r w:rsidDel="00000000" w:rsidR="00000000" w:rsidRPr="00000000">
              <w:rPr>
                <w:rtl w:val="0"/>
              </w:rPr>
            </w:r>
          </w:p>
          <w:p w:rsidR="00000000" w:rsidDel="00000000" w:rsidP="00000000" w:rsidRDefault="00000000" w:rsidRPr="00000000" w14:paraId="0000002A">
            <w:pPr>
              <w:spacing w:after="0" w:line="240" w:lineRule="auto"/>
              <w:jc w:val="both"/>
              <w:rPr>
                <w:rFonts w:ascii="Palatino Linotype" w:cs="Palatino Linotype" w:eastAsia="Palatino Linotype" w:hAnsi="Palatino Linotype"/>
                <w:highlight w:val="yellow"/>
              </w:rPr>
            </w:pPr>
            <w:r w:rsidDel="00000000" w:rsidR="00000000" w:rsidRPr="00000000">
              <w:rPr>
                <w:rFonts w:ascii="Palatino Linotype" w:cs="Palatino Linotype" w:eastAsia="Palatino Linotype" w:hAnsi="Palatino Linotype"/>
                <w:rtl w:val="0"/>
              </w:rPr>
              <w:t xml:space="preserve">Derivado de la información remitida, se advierte que cuenta con los elementos suficientes para considerarse una Práctica de Transparencia Proactiva, al apreciarse los atributos de calidad de la información, la </w:t>
            </w:r>
            <w:r w:rsidDel="00000000" w:rsidR="00000000" w:rsidRPr="00000000">
              <w:rPr>
                <w:rFonts w:ascii="Palatino Linotype" w:cs="Palatino Linotype" w:eastAsia="Palatino Linotype" w:hAnsi="Palatino Linotype"/>
                <w:color w:val="1f1f1f"/>
                <w:highlight w:val="white"/>
                <w:rtl w:val="0"/>
              </w:rPr>
              <w:t xml:space="preserve">contabilización de consultas, la participación ciudadana, los efectos positivos y los medios alternos de difusión de la información.</w:t>
            </w:r>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tc>
      </w:tr>
    </w:tbl>
    <w:p w:rsidR="00000000" w:rsidDel="00000000" w:rsidP="00000000" w:rsidRDefault="00000000" w:rsidRPr="00000000" w14:paraId="0000002C">
      <w:pPr>
        <w:spacing w:after="0" w:line="240" w:lineRule="auto"/>
        <w:ind w:left="-708" w:firstLine="0"/>
        <w:jc w:val="left"/>
        <w:rPr>
          <w:rFonts w:ascii="Arial" w:cs="Arial" w:eastAsia="Arial" w:hAnsi="Arial"/>
          <w:b w:val="1"/>
          <w:sz w:val="24"/>
          <w:szCs w:val="24"/>
        </w:rPr>
      </w:pPr>
      <w:bookmarkStart w:colFirst="0" w:colLast="0" w:name="_heading=h.57j57ri8u14" w:id="1"/>
      <w:bookmarkEnd w:id="1"/>
      <w:r w:rsidDel="00000000" w:rsidR="00000000" w:rsidRPr="00000000">
        <w:rPr>
          <w:rtl w:val="0"/>
        </w:rPr>
      </w:r>
    </w:p>
    <w:p w:rsidR="00000000" w:rsidDel="00000000" w:rsidP="00000000" w:rsidRDefault="00000000" w:rsidRPr="00000000" w14:paraId="0000002D">
      <w:pPr>
        <w:spacing w:after="0" w:line="240" w:lineRule="auto"/>
        <w:ind w:left="-708" w:firstLine="0"/>
        <w:jc w:val="center"/>
        <w:rPr>
          <w:rFonts w:ascii="Palatino Linotype" w:cs="Palatino Linotype" w:eastAsia="Palatino Linotype" w:hAnsi="Palatino Linotype"/>
          <w:b w:val="1"/>
        </w:rPr>
      </w:pPr>
      <w:bookmarkStart w:colFirst="0" w:colLast="0" w:name="_heading=h.y2fdnbofth29" w:id="2"/>
      <w:bookmarkEnd w:id="2"/>
      <w:r w:rsidDel="00000000" w:rsidR="00000000" w:rsidRPr="00000000">
        <w:rPr>
          <w:rFonts w:ascii="Palatino Linotype" w:cs="Palatino Linotype" w:eastAsia="Palatino Linotype" w:hAnsi="Palatino Linotype"/>
          <w:b w:val="1"/>
          <w:rtl w:val="0"/>
        </w:rPr>
        <w:t xml:space="preserve">EVALUACIÓN</w:t>
      </w:r>
    </w:p>
    <w:p w:rsidR="00000000" w:rsidDel="00000000" w:rsidP="00000000" w:rsidRDefault="00000000" w:rsidRPr="00000000" w14:paraId="0000002E">
      <w:pPr>
        <w:spacing w:after="0" w:line="240" w:lineRule="auto"/>
        <w:ind w:left="-708" w:firstLine="0"/>
        <w:jc w:val="center"/>
        <w:rPr>
          <w:rFonts w:ascii="Palatino Linotype" w:cs="Palatino Linotype" w:eastAsia="Palatino Linotype" w:hAnsi="Palatino Linotype"/>
          <w:b w:val="1"/>
        </w:rPr>
      </w:pPr>
      <w:bookmarkStart w:colFirst="0" w:colLast="0" w:name="_heading=h.y2fdnbofth29" w:id="2"/>
      <w:bookmarkEnd w:id="2"/>
      <w:r w:rsidDel="00000000" w:rsidR="00000000" w:rsidRPr="00000000">
        <w:rPr>
          <w:rtl w:val="0"/>
        </w:rPr>
      </w:r>
    </w:p>
    <w:sdt>
      <w:sdtPr>
        <w:lock w:val="contentLocked"/>
        <w:tag w:val="goog_rdk_0"/>
      </w:sdtPr>
      <w:sdtContent>
        <w:tbl>
          <w:tblPr>
            <w:tblStyle w:val="Table3"/>
            <w:tblW w:w="14130.0" w:type="dxa"/>
            <w:jc w:val="left"/>
            <w:tblInd w:w="-768.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25"/>
            <w:gridCol w:w="1635"/>
            <w:gridCol w:w="2850"/>
            <w:gridCol w:w="5220"/>
            <w:tblGridChange w:id="0">
              <w:tblGrid>
                <w:gridCol w:w="4425"/>
                <w:gridCol w:w="1635"/>
                <w:gridCol w:w="2850"/>
                <w:gridCol w:w="5220"/>
              </w:tblGrid>
            </w:tblGridChange>
          </w:tblGrid>
          <w:tr>
            <w:trPr>
              <w:cantSplit w:val="0"/>
              <w:trHeight w:val="42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2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CRITERIOS A EVALUAR</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PUNTOS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COMENTARIOS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EVIDENCIA</w:t>
                </w:r>
              </w:p>
            </w:tc>
          </w:tr>
          <w:tr>
            <w:trPr>
              <w:cantSplit w:val="0"/>
              <w:trHeight w:val="420" w:hRule="atLeast"/>
              <w:tblHeader w:val="0"/>
            </w:trPr>
            <w:tc>
              <w:tcPr>
                <w:gridSpan w:val="4"/>
                <w:tcBorders>
                  <w:bottom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3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Calidad de la información (0 a 4)</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Accesible</w:t>
                </w:r>
              </w:p>
              <w:p w:rsidR="00000000" w:rsidDel="00000000" w:rsidP="00000000" w:rsidRDefault="00000000" w:rsidRPr="00000000" w14:paraId="00000038">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esté presentada de tal manera que todas las personas puedan consultarla,</w:t>
                </w:r>
              </w:p>
              <w:p w:rsidR="00000000" w:rsidDel="00000000" w:rsidP="00000000" w:rsidRDefault="00000000" w:rsidRPr="00000000" w14:paraId="0000003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examinarla y utilizarla independientemente de sus capacidades técnicas, cognitivas o</w:t>
                </w:r>
              </w:p>
              <w:p w:rsidR="00000000" w:rsidDel="00000000" w:rsidP="00000000" w:rsidRDefault="00000000" w:rsidRPr="00000000" w14:paraId="0000003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físicas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3B">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Cualquier persona puede consultarlo y se encuentra alojada en la página oficial del Sujeto Obligado.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2752725" cy="1524000"/>
                      <wp:effectExtent b="0" l="0" r="0" t="0"/>
                      <wp:docPr id="307"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2752725"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Confiable</w:t>
                </w:r>
              </w:p>
              <w:p w:rsidR="00000000" w:rsidDel="00000000" w:rsidP="00000000" w:rsidRDefault="00000000" w:rsidRPr="00000000" w14:paraId="0000004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creíble y fidedigna y que proporcione elementos y/o datos que</w:t>
                </w:r>
              </w:p>
              <w:p w:rsidR="00000000" w:rsidDel="00000000" w:rsidP="00000000" w:rsidRDefault="00000000" w:rsidRPr="00000000" w14:paraId="00000041">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permiten la identificación de su origen, fecha de generación, de emisión y difusión de la</w:t>
                </w:r>
              </w:p>
              <w:p w:rsidR="00000000" w:rsidDel="00000000" w:rsidP="00000000" w:rsidRDefault="00000000" w:rsidRPr="00000000" w14:paraId="00000042">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misma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3">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es vigente y se ha difundido de manera reciente.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81350" cy="368300"/>
                      <wp:effectExtent b="0" l="0" r="0" t="0"/>
                      <wp:docPr id="314"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318135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tc>
          </w:tr>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Comprensible</w:t>
                </w:r>
              </w:p>
              <w:p w:rsidR="00000000" w:rsidDel="00000000" w:rsidP="00000000" w:rsidRDefault="00000000" w:rsidRPr="00000000" w14:paraId="00000048">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sencilla, clara y entendible para cualquier persona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9">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contenida en el sitio web es presentada en un lenguaje sencillo y fácil de entender.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3144202" cy="1740735"/>
                      <wp:effectExtent b="0" l="0" r="0" t="0"/>
                      <wp:docPr id="322"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3144202" cy="1740735"/>
                              </a:xfrm>
                              <a:prstGeom prst="rect"/>
                              <a:ln/>
                            </pic:spPr>
                          </pic:pic>
                        </a:graphicData>
                      </a:graphic>
                    </wp:inline>
                  </w:drawing>
                </w:r>
                <w:r w:rsidDel="00000000" w:rsidR="00000000" w:rsidRPr="00000000">
                  <w:rPr>
                    <w:rtl w:val="0"/>
                  </w:rPr>
                </w:r>
              </w:p>
            </w:tc>
          </w:tr>
          <w:tr>
            <w:trPr>
              <w:cantSplit w:val="0"/>
              <w:trHeight w:val="1307.226562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Oportuna</w:t>
                </w:r>
              </w:p>
              <w:p w:rsidR="00000000" w:rsidDel="00000000" w:rsidP="00000000" w:rsidRDefault="00000000" w:rsidRPr="00000000" w14:paraId="0000004D">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 publica a tiempo para preservar su valor y ser útil para la toma de</w:t>
                </w:r>
              </w:p>
              <w:p w:rsidR="00000000" w:rsidDel="00000000" w:rsidP="00000000" w:rsidRDefault="00000000" w:rsidRPr="00000000" w14:paraId="0000004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decisiones de las personas usuarias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F">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Ayuda a la toma de decisiones de las personas usuarias, al conocer los avances de las obras.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3180924" cy="1706032"/>
                      <wp:effectExtent b="0" l="0" r="0" t="0"/>
                      <wp:docPr id="308"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3180924" cy="1706032"/>
                              </a:xfrm>
                              <a:prstGeom prst="rect"/>
                              <a:ln/>
                            </pic:spPr>
                          </pic:pic>
                        </a:graphicData>
                      </a:graphic>
                    </wp:inline>
                  </w:drawing>
                </w:r>
                <w:r w:rsidDel="00000000" w:rsidR="00000000" w:rsidRPr="00000000">
                  <w:rPr>
                    <w:rtl w:val="0"/>
                  </w:rPr>
                </w:r>
              </w:p>
            </w:tc>
          </w:tr>
          <w:tr>
            <w:trPr>
              <w:cantSplit w:val="0"/>
              <w:trHeight w:val="1067.13867187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Veraz</w:t>
                </w:r>
              </w:p>
              <w:p w:rsidR="00000000" w:rsidDel="00000000" w:rsidP="00000000" w:rsidRDefault="00000000" w:rsidRPr="00000000" w14:paraId="00000053">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exacta, refiera o manifieste siempre la verdad respecto de lo generado,</w:t>
                </w:r>
              </w:p>
              <w:p w:rsidR="00000000" w:rsidDel="00000000" w:rsidP="00000000" w:rsidRDefault="00000000" w:rsidRPr="00000000" w14:paraId="00000054">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utilizado o publicitado por el Sujeto Obligado</w:t>
                </w:r>
                <w:r w:rsidDel="00000000" w:rsidR="00000000" w:rsidRPr="00000000">
                  <w:rPr>
                    <w:rtl w:val="0"/>
                  </w:rPr>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encuentra basado en otras fuentes. </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57">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3181350" cy="1587500"/>
                      <wp:effectExtent b="0" l="0" r="0" t="0"/>
                      <wp:docPr id="318"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3181350" cy="15875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Congruente</w:t>
                </w:r>
              </w:p>
              <w:p w:rsidR="00000000" w:rsidDel="00000000" w:rsidP="00000000" w:rsidRDefault="00000000" w:rsidRPr="00000000" w14:paraId="0000005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mantiene relación y coherencia con otra información generada,</w:t>
                </w:r>
              </w:p>
              <w:p w:rsidR="00000000" w:rsidDel="00000000" w:rsidP="00000000" w:rsidRDefault="00000000" w:rsidRPr="00000000" w14:paraId="0000005B">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utilizada y/o publicada por 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C">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congruente por que está relacionado a información de fuentes internas.</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5E">
                <w:pPr>
                  <w:widowControl w:val="0"/>
                  <w:spacing w:after="0" w:before="0" w:line="240" w:lineRule="auto"/>
                  <w:ind w:left="0" w:firstLine="0"/>
                  <w:jc w:val="both"/>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Verificable</w:t>
                </w:r>
              </w:p>
              <w:p w:rsidR="00000000" w:rsidDel="00000000" w:rsidP="00000000" w:rsidRDefault="00000000" w:rsidRPr="00000000" w14:paraId="0000006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posible comprobar la veracidad de la información, así como</w:t>
                </w:r>
              </w:p>
              <w:p w:rsidR="00000000" w:rsidDel="00000000" w:rsidP="00000000" w:rsidRDefault="00000000" w:rsidRPr="00000000" w14:paraId="00000061">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 el método por el cual el Sujeto Obligado la generó</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2">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verificable ya que permite constatar la información compartida con otras fuentes.</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4">
                <w:pPr>
                  <w:widowControl w:val="0"/>
                  <w:spacing w:after="0" w:before="0" w:line="240" w:lineRule="auto"/>
                  <w:ind w:left="0" w:firstLine="0"/>
                  <w:jc w:val="both"/>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Completa</w:t>
                </w:r>
              </w:p>
              <w:p w:rsidR="00000000" w:rsidDel="00000000" w:rsidP="00000000" w:rsidRDefault="00000000" w:rsidRPr="00000000" w14:paraId="00000066">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proporcione todos los datos, aspectos, partes o referentes necesarios</w:t>
                </w:r>
              </w:p>
              <w:p w:rsidR="00000000" w:rsidDel="00000000" w:rsidP="00000000" w:rsidRDefault="00000000" w:rsidRPr="00000000" w14:paraId="00000067">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para ser global respecto del quehacer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Proporciona información y datos del quehacer del Sujeto Obligado.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A">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2439353" cy="2025784"/>
                      <wp:effectExtent b="0" l="0" r="0" t="0"/>
                      <wp:docPr id="310"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439353" cy="2025784"/>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Actual</w:t>
                </w:r>
              </w:p>
              <w:p w:rsidR="00000000" w:rsidDel="00000000" w:rsidP="00000000" w:rsidRDefault="00000000" w:rsidRPr="00000000" w14:paraId="0000006C">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la última versión de la información y es resultado de la adición,</w:t>
                </w:r>
              </w:p>
              <w:p w:rsidR="00000000" w:rsidDel="00000000" w:rsidP="00000000" w:rsidRDefault="00000000" w:rsidRPr="00000000" w14:paraId="0000006D">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modificación o generación de datos a partir de las acciones y actividades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E">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Presenta información de fechas recientes.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0">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3277305" cy="349305"/>
                      <wp:effectExtent b="0" l="0" r="0" t="0"/>
                      <wp:docPr id="319"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3277305" cy="349305"/>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abiertos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2">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Presenta información respecto de las obras realizadas en formatos CSV.</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4">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3314700" cy="1473200"/>
                      <wp:effectExtent b="0" l="0" r="0" t="0"/>
                      <wp:docPr id="309"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3314700" cy="1473200"/>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Contabilización de consultas o reutilización de la información en medios de difusión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Existencia de mecanismos de registro de consultas y/o reutilización de información</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contador de visitas.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C">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2948010" cy="1599452"/>
                      <wp:effectExtent b="0" l="0" r="0" t="0"/>
                      <wp:docPr id="315" name="image7.png"/>
                      <a:graphic>
                        <a:graphicData uri="http://schemas.openxmlformats.org/drawingml/2006/picture">
                          <pic:pic>
                            <pic:nvPicPr>
                              <pic:cNvPr id="0" name="image7.png"/>
                              <pic:cNvPicPr preferRelativeResize="0"/>
                            </pic:nvPicPr>
                            <pic:blipFill>
                              <a:blip r:embed="rId17"/>
                              <a:srcRect b="0" l="0" r="0" t="11279"/>
                              <a:stretch>
                                <a:fillRect/>
                              </a:stretch>
                            </pic:blipFill>
                            <pic:spPr>
                              <a:xfrm>
                                <a:off x="0" y="0"/>
                                <a:ext cx="2948010" cy="1599452"/>
                              </a:xfrm>
                              <a:prstGeom prst="rect"/>
                              <a:ln/>
                            </pic:spPr>
                          </pic:pic>
                        </a:graphicData>
                      </a:graphic>
                    </wp:inline>
                  </w:drawing>
                </w:r>
                <w:r w:rsidDel="00000000" w:rsidR="00000000" w:rsidRPr="00000000">
                  <w:rPr>
                    <w:rtl w:val="0"/>
                  </w:rPr>
                </w:r>
              </w:p>
            </w:tc>
          </w:tr>
          <w:tr>
            <w:trPr>
              <w:cantSplit w:val="0"/>
              <w:trHeight w:val="147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Aprovechamiento del registro de consultas y/o reutilización de la información publicada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E">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F">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conocer el alcance de la información.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0">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3181350" cy="1574800"/>
                      <wp:effectExtent b="0" l="0" r="0" t="0"/>
                      <wp:docPr id="323"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3181350" cy="15748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375"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La participación ciudadana efectiva e informada en el proceso de publicación y difusión de información proactiva (0 a 10)</w:t>
                </w:r>
              </w:p>
            </w:tc>
          </w:tr>
          <w:tr>
            <w:trPr>
              <w:cantSplit w:val="0"/>
              <w:trHeight w:val="223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implementación de mecanismos de participación ciudadana, como encuestas, estudios de opinión, o cualquier otro ejercicio que derive en la aplicación de algún instrumento o herramienta que posibilite la apertura de las instituciones públicas hacia la participación efectiva de la población que haga uso de la información publicada de manera proactiva</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7">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encuesta de satisfacción de la información.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9">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2277427" cy="1518285"/>
                      <wp:effectExtent b="0" l="0" r="0" t="0"/>
                      <wp:docPr id="316"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2277427" cy="1518285"/>
                              </a:xfrm>
                              <a:prstGeom prst="rect"/>
                              <a:ln/>
                            </pic:spPr>
                          </pic:pic>
                        </a:graphicData>
                      </a:graphic>
                    </wp:inline>
                  </w:drawing>
                </w:r>
                <w:r w:rsidDel="00000000" w:rsidR="00000000" w:rsidRPr="00000000">
                  <w:rPr>
                    <w:rtl w:val="0"/>
                  </w:rPr>
                </w:r>
              </w:p>
            </w:tc>
          </w:tr>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aprovechamiento de los mecanismos de participación ciudadana para la mejora de la publicación y difusión de información proactiva.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B">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detectar la utilidad de la información.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D">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2934652" cy="1222772"/>
                      <wp:effectExtent b="0" l="0" r="0" t="0"/>
                      <wp:docPr id="320"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2934652" cy="1222772"/>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Efectos positivos generados a partir de la información difundida en el marco de la política de TP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diseño e implementación de mecanismos de evaluación de la política de transparencia proactiva por parte de cada Sujeto Obligado</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4">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5">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Mejor control, seguimiento y vigilancia de los recursos públicos utilizados en materia de obra en sus comunidades.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6">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3120637" cy="1122997"/>
                      <wp:effectExtent b="0" l="0" r="0" t="0"/>
                      <wp:docPr id="312"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3120637" cy="1122997"/>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La difusión de la información proactiva en medios distintos al internet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Utilización e implementación de medios alternativos de divulgación de la información proactiva, como radiodifusión, televisión, medios impresos, lonas, perifoneo, pláticas informativas, asesorías, volantes, sistemas de comunicación para personas con discapacidad y otras herramientas específicas dirigidas a grupos con dificultades de uso y acceso a tecnologías de la información.</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D">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Difusión en redes sociales y medios de comunicación.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F">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2353628" cy="2326574"/>
                      <wp:effectExtent b="0" l="0" r="0" t="0"/>
                      <wp:docPr id="321"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2353628" cy="2326574"/>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A0">
      <w:pPr>
        <w:spacing w:after="240" w:line="276" w:lineRule="auto"/>
        <w:ind w:left="-708" w:firstLine="0"/>
        <w:rPr>
          <w:rFonts w:ascii="Palatino Linotype" w:cs="Palatino Linotype" w:eastAsia="Palatino Linotype" w:hAnsi="Palatino Linotype"/>
          <w:b w:val="1"/>
        </w:rPr>
      </w:pPr>
      <w:bookmarkStart w:colFirst="0" w:colLast="0" w:name="_heading=h.uye03zr0ncmu" w:id="3"/>
      <w:bookmarkEnd w:id="3"/>
      <w:r w:rsidDel="00000000" w:rsidR="00000000" w:rsidRPr="00000000">
        <w:rPr>
          <w:rtl w:val="0"/>
        </w:rPr>
      </w:r>
    </w:p>
    <w:p w:rsidR="00000000" w:rsidDel="00000000" w:rsidP="00000000" w:rsidRDefault="00000000" w:rsidRPr="00000000" w14:paraId="000000A1">
      <w:pPr>
        <w:spacing w:after="0" w:line="240" w:lineRule="auto"/>
        <w:ind w:left="-708" w:firstLine="0"/>
        <w:jc w:val="center"/>
        <w:rPr>
          <w:rFonts w:ascii="Palatino Linotype" w:cs="Palatino Linotype" w:eastAsia="Palatino Linotype" w:hAnsi="Palatino Linotype"/>
          <w:b w:val="1"/>
        </w:rPr>
      </w:pPr>
      <w:bookmarkStart w:colFirst="0" w:colLast="0" w:name="_heading=h.pdqawpn9ngu8" w:id="4"/>
      <w:bookmarkEnd w:id="4"/>
      <w:r w:rsidDel="00000000" w:rsidR="00000000" w:rsidRPr="00000000">
        <w:rPr>
          <w:rtl w:val="0"/>
        </w:rPr>
      </w:r>
    </w:p>
    <w:p w:rsidR="00000000" w:rsidDel="00000000" w:rsidP="00000000" w:rsidRDefault="00000000" w:rsidRPr="00000000" w14:paraId="000000A2">
      <w:pPr>
        <w:spacing w:after="0" w:line="240" w:lineRule="auto"/>
        <w:ind w:left="-708" w:firstLine="0"/>
        <w:jc w:val="center"/>
        <w:rPr>
          <w:rFonts w:ascii="Palatino Linotype" w:cs="Palatino Linotype" w:eastAsia="Palatino Linotype" w:hAnsi="Palatino Linotype"/>
          <w:b w:val="1"/>
        </w:rPr>
      </w:pPr>
      <w:bookmarkStart w:colFirst="0" w:colLast="0" w:name="_heading=h.jbhmfh9m528v" w:id="5"/>
      <w:bookmarkEnd w:id="5"/>
      <w:r w:rsidDel="00000000" w:rsidR="00000000" w:rsidRPr="00000000">
        <w:rPr>
          <w:rtl w:val="0"/>
        </w:rPr>
      </w:r>
    </w:p>
    <w:p w:rsidR="00000000" w:rsidDel="00000000" w:rsidP="00000000" w:rsidRDefault="00000000" w:rsidRPr="00000000" w14:paraId="000000A3">
      <w:pPr>
        <w:jc w:val="both"/>
        <w:rPr>
          <w:rFonts w:ascii="Arial" w:cs="Arial" w:eastAsia="Arial" w:hAnsi="Arial"/>
        </w:rPr>
      </w:pPr>
      <w:r w:rsidDel="00000000" w:rsidR="00000000" w:rsidRPr="00000000">
        <w:rPr>
          <w:rtl w:val="0"/>
        </w:rPr>
      </w:r>
    </w:p>
    <w:sectPr>
      <w:headerReference r:id="rId23" w:type="default"/>
      <w:footerReference r:id="rId24" w:type="default"/>
      <w:pgSz w:h="12240" w:w="15840" w:orient="landscape"/>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5">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17" name="image2.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2.png"/>
                  <pic:cNvPicPr preferRelativeResize="0"/>
                </pic:nvPicPr>
                <pic:blipFill>
                  <a:blip r:embed="rId1"/>
                  <a:srcRect b="25358" l="27474" r="25000" t="5795"/>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-933443</wp:posOffset>
          </wp:positionH>
          <wp:positionV relativeFrom="paragraph">
            <wp:posOffset>-85720</wp:posOffset>
          </wp:positionV>
          <wp:extent cx="9926003" cy="7629525"/>
          <wp:effectExtent b="0" l="0" r="0" t="0"/>
          <wp:wrapNone/>
          <wp:docPr descr="Imagen que contiene Gráfico de superficie&#10;&#10;Descripción generada automáticamente" id="311" name="image1.png"/>
          <a:graphic>
            <a:graphicData uri="http://schemas.openxmlformats.org/drawingml/2006/picture">
              <pic:pic>
                <pic:nvPicPr>
                  <pic:cNvPr descr="Imagen que contiene Gráfico de superficie&#10;&#10;Descripción generada automáticamente" id="0" name="image1.png"/>
                  <pic:cNvPicPr preferRelativeResize="0"/>
                </pic:nvPicPr>
                <pic:blipFill>
                  <a:blip r:embed="rId2"/>
                  <a:srcRect b="0" l="0" r="0" t="0"/>
                  <a:stretch>
                    <a:fillRect/>
                  </a:stretch>
                </pic:blipFill>
                <pic:spPr>
                  <a:xfrm>
                    <a:off x="0" y="0"/>
                    <a:ext cx="9926003" cy="76295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image" Target="media/image8.png"/><Relationship Id="rId22" Type="http://schemas.openxmlformats.org/officeDocument/2006/relationships/image" Target="media/image14.png"/><Relationship Id="rId10" Type="http://schemas.openxmlformats.org/officeDocument/2006/relationships/image" Target="media/image9.png"/><Relationship Id="rId21" Type="http://schemas.openxmlformats.org/officeDocument/2006/relationships/image" Target="media/image16.png"/><Relationship Id="rId13" Type="http://schemas.openxmlformats.org/officeDocument/2006/relationships/image" Target="media/image15.png"/><Relationship Id="rId24" Type="http://schemas.openxmlformats.org/officeDocument/2006/relationships/footer" Target="footer1.xml"/><Relationship Id="rId12" Type="http://schemas.openxmlformats.org/officeDocument/2006/relationships/image" Target="media/image10.pn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image" Target="media/image5.png"/><Relationship Id="rId14" Type="http://schemas.openxmlformats.org/officeDocument/2006/relationships/image" Target="media/image3.png"/><Relationship Id="rId17" Type="http://schemas.openxmlformats.org/officeDocument/2006/relationships/image" Target="media/image7.png"/><Relationship Id="rId16" Type="http://schemas.openxmlformats.org/officeDocument/2006/relationships/image" Target="media/image17.png"/><Relationship Id="rId5" Type="http://schemas.openxmlformats.org/officeDocument/2006/relationships/styles" Target="styles.xml"/><Relationship Id="rId19" Type="http://schemas.openxmlformats.org/officeDocument/2006/relationships/image" Target="media/image12.png"/><Relationship Id="rId6" Type="http://schemas.openxmlformats.org/officeDocument/2006/relationships/customXml" Target="../customXML/item1.xml"/><Relationship Id="rId18" Type="http://schemas.openxmlformats.org/officeDocument/2006/relationships/image" Target="media/image4.png"/><Relationship Id="rId7" Type="http://schemas.openxmlformats.org/officeDocument/2006/relationships/image" Target="media/image11.png"/><Relationship Id="rId8" Type="http://schemas.openxmlformats.org/officeDocument/2006/relationships/hyperlink" Target="https://smovilidadinformatica.com.mx/ColibriAnt/inicio.js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a6mcOk0wFDZEVaYcDr8m4FjGhg==">CgMxLjAaHwoBMBIaChgICVIUChJ0YWJsZS5vbDQ3ZGkyeWZ6MGwyCWguMzBqMHpsbDINaC41N2o1N3JpOHUxNDIOaC55MmZkbmJvZnRoMjkyDmgueTJmZG5ib2Z0aDI5Mg5oLnV5ZTAzenIwbmNtdTIOaC5wZHFhd3BuOW5ndTgyDmguamJobWZoOW01Mjh2OAByITFqU2R4RGtJQ012LWV5WGVNb2NjUnN0bmcyQkZWQ3JOZw==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