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680"/>
        <w:gridCol w:w="4395"/>
        <w:tblGridChange w:id="0">
          <w:tblGrid>
            <w:gridCol w:w="4950"/>
            <w:gridCol w:w="4680"/>
            <w:gridCol w:w="4395"/>
          </w:tblGrid>
        </w:tblGridChange>
      </w:tblGrid>
      <w:tr>
        <w:trPr>
          <w:cantSplit w:val="0"/>
          <w:trHeight w:val="650.41992187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009900" cy="1854547"/>
                  <wp:effectExtent b="0" l="0" r="0" t="0"/>
                  <wp:docPr id="324" name="image14.png"/>
                  <a:graphic>
                    <a:graphicData uri="http://schemas.openxmlformats.org/drawingml/2006/picture">
                      <pic:pic>
                        <pic:nvPicPr>
                          <pic:cNvPr id="0" name="image14.png"/>
                          <pic:cNvPicPr preferRelativeResize="0"/>
                        </pic:nvPicPr>
                        <pic:blipFill>
                          <a:blip r:embed="rId7"/>
                          <a:srcRect b="-11528" l="0" r="0" t="11528"/>
                          <a:stretch>
                            <a:fillRect/>
                          </a:stretch>
                        </pic:blipFill>
                        <pic:spPr>
                          <a:xfrm>
                            <a:off x="0" y="0"/>
                            <a:ext cx="3009900" cy="1854547"/>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5">
            <w:pPr>
              <w:spacing w:after="0" w:line="24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Sistema de Preinscripción en Línea del Tecnológico de Estudios Superiores de Tianguistenco.</w:t>
            </w:r>
          </w:p>
        </w:tc>
      </w:tr>
      <w:tr>
        <w:trPr>
          <w:cantSplit w:val="0"/>
          <w:trHeight w:val="45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9">
            <w:pPr>
              <w:spacing w:after="0" w:line="24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Tecnológico de Estudios Superiores de Tianguistenco</w:t>
            </w:r>
          </w:p>
        </w:tc>
      </w:tr>
      <w:tr>
        <w:trPr>
          <w:cantSplit w:val="0"/>
          <w:trHeight w:val="49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D">
            <w:pPr>
              <w:spacing w:after="0" w:line="240" w:lineRule="auto"/>
              <w:ind w:lef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Subdirección de Planeación y Departamento de Control Escolar</w:t>
            </w:r>
          </w:p>
        </w:tc>
      </w:tr>
      <w:tr>
        <w:trPr>
          <w:cantSplit w:val="0"/>
          <w:trHeight w:val="31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1">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u w:val="single"/>
                  <w:rtl w:val="0"/>
                </w:rPr>
                <w:t xml:space="preserve">http://187.217.183.153/</w:t>
              </w:r>
            </w:hyperlink>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2019 y</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37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100</w:t>
            </w:r>
          </w:p>
        </w:tc>
      </w:tr>
    </w:tbl>
    <w:p w:rsidR="00000000" w:rsidDel="00000000" w:rsidP="00000000" w:rsidRDefault="00000000" w:rsidRPr="00000000" w14:paraId="00000019">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05.0" w:type="dxa"/>
        <w:jc w:val="left"/>
        <w:tblInd w:w="-572.0" w:type="dxa"/>
        <w:tblLayout w:type="fixed"/>
        <w:tblLook w:val="0400"/>
      </w:tblPr>
      <w:tblGrid>
        <w:gridCol w:w="6165"/>
        <w:gridCol w:w="7740"/>
        <w:tblGridChange w:id="0">
          <w:tblGrid>
            <w:gridCol w:w="6165"/>
            <w:gridCol w:w="7740"/>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Plataforma digital para llevar a cabo el proceso de preinscripción de alumnos de nuevo ingreso, brinda información de los diferentes planes de estudio, convocatoria, requisitos, costos, fechas de examen, las carreras, plan de estudios, perfil de egresos, calendario escolar y estadísticas de registros de aspirantes, de manera clara y sencilla, mediante infografías y  videos. La práctica cuenta con datos abiertos en formato CSV. </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Automatizar el proceso de preinscripción para los egresados de nivel medio superior interesados en estudiar alguno de los programas educativos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contingencia sanitaria Covid-19, surge la necesidad de crear un sistema web para el registro de preinscritos a nuevo ingreso.</w:t>
            </w:r>
          </w:p>
        </w:tc>
      </w:tr>
      <w:tr>
        <w:trPr>
          <w:cantSplit w:val="0"/>
          <w:trHeight w:val="69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highlight w:val="white"/>
                <w:u w:val="none"/>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p>
          <w:p w:rsidR="00000000" w:rsidDel="00000000" w:rsidP="00000000" w:rsidRDefault="00000000" w:rsidRPr="00000000" w14:paraId="00000022">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Optimizar el proceso del registro, seguimiento y control del trámite de preinscripción. </w:t>
            </w:r>
          </w:p>
        </w:tc>
      </w:tr>
      <w:tr>
        <w:trPr>
          <w:cantSplit w:val="0"/>
          <w:trHeight w:val="947.22656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a través de su encuesta de satisfacción que aplican al término en el micrositio. </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6">
            <w:pPr>
              <w:spacing w:after="0" w:line="24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¿La práctica cuenta con algún registro del número de consultas realizadas a la información difundida?</w:t>
            </w:r>
            <w:r w:rsidDel="00000000" w:rsidR="00000000" w:rsidRPr="00000000">
              <w:rPr>
                <w:rtl w:val="0"/>
              </w:rPr>
            </w:r>
          </w:p>
          <w:p w:rsidR="00000000" w:rsidDel="00000000" w:rsidP="00000000" w:rsidRDefault="00000000" w:rsidRPr="00000000" w14:paraId="00000027">
            <w:pPr>
              <w:spacing w:after="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cuenta con contador de visitas.</w:t>
            </w:r>
          </w:p>
        </w:tc>
      </w:tr>
      <w:tr>
        <w:trPr>
          <w:cantSplit w:val="0"/>
          <w:trHeight w:val="1505.41992187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8">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Observaciones:</w:t>
            </w:r>
            <w:r w:rsidDel="00000000" w:rsidR="00000000" w:rsidRPr="00000000">
              <w:rPr>
                <w:rtl w:val="0"/>
              </w:rPr>
            </w:r>
          </w:p>
          <w:p w:rsidR="00000000" w:rsidDel="00000000" w:rsidP="00000000" w:rsidRDefault="00000000" w:rsidRPr="00000000" w14:paraId="00000029">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highlight w:val="white"/>
                <w:rtl w:val="0"/>
              </w:rPr>
              <w:t xml:space="preserve">contabilización de consultas, la participación ciudadana, los efectos positivos y los medios alternos de difusión de la información.</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r>
          </w:p>
        </w:tc>
      </w:tr>
    </w:tbl>
    <w:p w:rsidR="00000000" w:rsidDel="00000000" w:rsidP="00000000" w:rsidRDefault="00000000" w:rsidRPr="00000000" w14:paraId="0000002B">
      <w:pPr>
        <w:spacing w:after="0" w:line="240" w:lineRule="auto"/>
        <w:ind w:left="-708" w:firstLine="0"/>
        <w:jc w:val="center"/>
        <w:rPr>
          <w:rFonts w:ascii="Palatino Linotype" w:cs="Palatino Linotype" w:eastAsia="Palatino Linotype" w:hAnsi="Palatino Linotype"/>
          <w:b w:val="1"/>
        </w:rPr>
      </w:pPr>
      <w:bookmarkStart w:colFirst="0" w:colLast="0" w:name="_heading=h.57j57ri8u14" w:id="1"/>
      <w:bookmarkEnd w:id="1"/>
      <w:r w:rsidDel="00000000" w:rsidR="00000000" w:rsidRPr="00000000">
        <w:rPr>
          <w:rtl w:val="0"/>
        </w:rPr>
      </w:r>
    </w:p>
    <w:p w:rsidR="00000000" w:rsidDel="00000000" w:rsidP="00000000" w:rsidRDefault="00000000" w:rsidRPr="00000000" w14:paraId="0000002C">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2"/>
      <w:bookmarkEnd w:id="2"/>
      <w:r w:rsidDel="00000000" w:rsidR="00000000" w:rsidRPr="00000000">
        <w:rPr>
          <w:rFonts w:ascii="Palatino Linotype" w:cs="Palatino Linotype" w:eastAsia="Palatino Linotype" w:hAnsi="Palatino Linotype"/>
          <w:b w:val="1"/>
          <w:rtl w:val="0"/>
        </w:rPr>
        <w:t xml:space="preserve">EVALUACIÓN</w:t>
      </w:r>
    </w:p>
    <w:p w:rsidR="00000000" w:rsidDel="00000000" w:rsidP="00000000" w:rsidRDefault="00000000" w:rsidRPr="00000000" w14:paraId="0000002D">
      <w:pPr>
        <w:spacing w:after="0" w:line="240" w:lineRule="auto"/>
        <w:ind w:left="-708" w:firstLine="0"/>
        <w:jc w:val="center"/>
        <w:rPr>
          <w:rFonts w:ascii="Palatino Linotype" w:cs="Palatino Linotype" w:eastAsia="Palatino Linotype" w:hAnsi="Palatino Linotype"/>
          <w:b w:val="1"/>
        </w:rPr>
      </w:pPr>
      <w:r w:rsidDel="00000000" w:rsidR="00000000" w:rsidRPr="00000000">
        <w:rPr>
          <w:rtl w:val="0"/>
        </w:rPr>
      </w:r>
    </w:p>
    <w:sdt>
      <w:sdtPr>
        <w:lock w:val="contentLocked"/>
        <w:tag w:val="goog_rdk_0"/>
      </w:sdtPr>
      <w:sdtContent>
        <w:tbl>
          <w:tblPr>
            <w:tblStyle w:val="Table3"/>
            <w:tblW w:w="14085.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10"/>
            <w:gridCol w:w="1725"/>
            <w:gridCol w:w="3210"/>
            <w:gridCol w:w="5040"/>
            <w:tblGridChange w:id="0">
              <w:tblGrid>
                <w:gridCol w:w="4110"/>
                <w:gridCol w:w="1725"/>
                <w:gridCol w:w="3210"/>
                <w:gridCol w:w="5040"/>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Cualquier persona puede consultarlo y se encuentra publicado en la convocatoria de nuevo ingreso.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58402" cy="1978025"/>
                      <wp:effectExtent b="0" l="0" r="0" t="0"/>
                      <wp:docPr id="326"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2458402" cy="1978025"/>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3E">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3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es vigente y se ha difundido de manera reciente.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95650" cy="482600"/>
                      <wp:effectExtent b="0" l="0" r="0" t="0"/>
                      <wp:docPr id="32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29565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contenida en el sitio web es presentada en un lenguaje sencillo y fácil de entender.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295650" cy="1054100"/>
                      <wp:effectExtent b="0" l="0" r="0" t="0"/>
                      <wp:docPr id="328"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3295650" cy="1054100"/>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Ayuda a la toma de decisiones de las personas usuarias, al contar con los elementos para el trámite de preinscripción.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03558" cy="1429702"/>
                      <wp:effectExtent b="0" l="0" r="0" t="0"/>
                      <wp:docPr id="327"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403558" cy="1429702"/>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5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5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encuentra basado en el proceso de admisión al Tecnológico.</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958801" cy="1263759"/>
                      <wp:effectExtent b="0" l="0" r="0" t="0"/>
                      <wp:docPr id="330"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958801" cy="1263759"/>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Está relacionado a información de fuentes internas.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constatar la información compartida con otras fuentes.</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Proporciona información y datos del quehacer del Sujeto Obligado.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247181" cy="1394802"/>
                      <wp:effectExtent b="0" l="0" r="0" t="0"/>
                      <wp:docPr id="329"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247181" cy="1394802"/>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Presenta información de fechas recientes.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75418" cy="611903"/>
                      <wp:effectExtent b="0" l="0" r="0" t="0"/>
                      <wp:docPr id="332" name="image13.png"/>
                      <a:graphic>
                        <a:graphicData uri="http://schemas.openxmlformats.org/drawingml/2006/picture">
                          <pic:pic>
                            <pic:nvPicPr>
                              <pic:cNvPr id="0" name="image13.png"/>
                              <pic:cNvPicPr preferRelativeResize="0"/>
                            </pic:nvPicPr>
                            <pic:blipFill>
                              <a:blip r:embed="rId9"/>
                              <a:srcRect b="72965" l="0" r="1705" t="0"/>
                              <a:stretch>
                                <a:fillRect/>
                              </a:stretch>
                            </pic:blipFill>
                            <pic:spPr>
                              <a:xfrm>
                                <a:off x="0" y="0"/>
                                <a:ext cx="2775418" cy="611903"/>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1">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Presenta información de los aspirantes de nuevo ingreso en formatos CSV.</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20302" cy="925001"/>
                      <wp:effectExtent b="0" l="0" r="0" t="0"/>
                      <wp:docPr id="33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420302" cy="925001"/>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65274" cy="545477"/>
                      <wp:effectExtent b="0" l="0" r="0" t="0"/>
                      <wp:docPr id="335"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465274" cy="545477"/>
                              </a:xfrm>
                              <a:prstGeom prst="rect"/>
                              <a:ln/>
                            </pic:spPr>
                          </pic:pic>
                        </a:graphicData>
                      </a:graphic>
                    </wp:inline>
                  </w:drawing>
                </w: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D">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E">
                <w:pPr>
                  <w:spacing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conocer el alcance de la información.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798789" cy="1326334"/>
                      <wp:effectExtent b="0" l="0" r="0" t="0"/>
                      <wp:docPr id="333"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798789" cy="1326334"/>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encuesta de satisfacción de la información.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01599" cy="1491652"/>
                      <wp:effectExtent b="0" l="0" r="0" t="0"/>
                      <wp:docPr id="334"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2101599" cy="1491652"/>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detectar mejoras del sistema.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900959" cy="1581425"/>
                      <wp:effectExtent b="0" l="0" r="0" t="0"/>
                      <wp:docPr id="336"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2900959" cy="158142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90">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7">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Optimizar el proceso del registro, seguimiento y control del trámite de preinscripción.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3306127" cy="390525"/>
                      <wp:effectExtent b="0" l="0" r="0" t="0"/>
                      <wp:docPr id="337" name="image10.png"/>
                      <a:graphic>
                        <a:graphicData uri="http://schemas.openxmlformats.org/drawingml/2006/picture">
                          <pic:pic>
                            <pic:nvPicPr>
                              <pic:cNvPr id="0" name="image10.png"/>
                              <pic:cNvPicPr preferRelativeResize="0"/>
                            </pic:nvPicPr>
                            <pic:blipFill>
                              <a:blip r:embed="rId20"/>
                              <a:srcRect b="0" l="4868" r="-4868" t="0"/>
                              <a:stretch>
                                <a:fillRect/>
                              </a:stretch>
                            </pic:blipFill>
                            <pic:spPr>
                              <a:xfrm>
                                <a:off x="0" y="0"/>
                                <a:ext cx="3306127"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A">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p w:rsidR="00000000" w:rsidDel="00000000" w:rsidP="00000000" w:rsidRDefault="00000000" w:rsidRPr="00000000" w14:paraId="0000009B">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p w:rsidR="00000000" w:rsidDel="00000000" w:rsidP="00000000" w:rsidRDefault="00000000" w:rsidRPr="00000000" w14:paraId="0000009E">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A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Difusión en redes sociales.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210752" cy="1804696"/>
                      <wp:effectExtent b="0" l="0" r="0" t="0"/>
                      <wp:docPr id="338"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2210752" cy="1804696"/>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A7">
      <w:pPr>
        <w:spacing w:after="240" w:line="276" w:lineRule="auto"/>
        <w:ind w:left="-708" w:firstLine="0"/>
        <w:rPr>
          <w:rFonts w:ascii="Palatino Linotype" w:cs="Palatino Linotype" w:eastAsia="Palatino Linotype" w:hAnsi="Palatino Linotype"/>
          <w:b w:val="1"/>
        </w:rPr>
      </w:pPr>
      <w:bookmarkStart w:colFirst="0" w:colLast="0" w:name="_heading=h.uye03zr0ncmu" w:id="3"/>
      <w:bookmarkEnd w:id="3"/>
      <w:r w:rsidDel="00000000" w:rsidR="00000000" w:rsidRPr="00000000">
        <w:rPr>
          <w:rtl w:val="0"/>
        </w:rPr>
      </w:r>
    </w:p>
    <w:p w:rsidR="00000000" w:rsidDel="00000000" w:rsidP="00000000" w:rsidRDefault="00000000" w:rsidRPr="00000000" w14:paraId="000000A8">
      <w:pPr>
        <w:jc w:val="both"/>
        <w:rPr>
          <w:rFonts w:ascii="Arial" w:cs="Arial" w:eastAsia="Arial" w:hAnsi="Arial"/>
        </w:rPr>
      </w:pPr>
      <w:bookmarkStart w:colFirst="0" w:colLast="0" w:name="_heading=h.1fob9te" w:id="4"/>
      <w:bookmarkEnd w:id="4"/>
      <w:r w:rsidDel="00000000" w:rsidR="00000000" w:rsidRPr="00000000">
        <w:rPr>
          <w:rtl w:val="0"/>
        </w:rPr>
      </w:r>
    </w:p>
    <w:p w:rsidR="00000000" w:rsidDel="00000000" w:rsidP="00000000" w:rsidRDefault="00000000" w:rsidRPr="00000000" w14:paraId="000000A9">
      <w:pPr>
        <w:jc w:val="both"/>
        <w:rPr>
          <w:rFonts w:ascii="Arial" w:cs="Arial" w:eastAsia="Arial" w:hAnsi="Arial"/>
        </w:rPr>
      </w:pPr>
      <w:r w:rsidDel="00000000" w:rsidR="00000000" w:rsidRPr="00000000">
        <w:rPr>
          <w:rtl w:val="0"/>
        </w:rPr>
      </w:r>
    </w:p>
    <w:sectPr>
      <w:headerReference r:id="rId22" w:type="default"/>
      <w:headerReference r:id="rId23" w:type="first"/>
      <w:footerReference r:id="rId24" w:type="default"/>
      <w:footerReference r:id="rId25" w:type="first"/>
      <w:pgSz w:h="12240" w:w="15840" w:orient="landscape"/>
      <w:pgMar w:bottom="426" w:top="703" w:left="1701" w:right="1701" w:header="284"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jc w:val="right"/>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39" name="image5.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5.png"/>
                  <pic:cNvPicPr preferRelativeResize="0"/>
                </pic:nvPicPr>
                <pic:blipFill>
                  <a:blip r:embed="rId1"/>
                  <a:srcRect b="25357" l="27474" r="25000" t="5795"/>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-1046795</wp:posOffset>
          </wp:positionH>
          <wp:positionV relativeFrom="paragraph">
            <wp:posOffset>-85723</wp:posOffset>
          </wp:positionV>
          <wp:extent cx="10030778" cy="7629525"/>
          <wp:effectExtent b="0" l="0" r="0" t="0"/>
          <wp:wrapNone/>
          <wp:docPr descr="Imagen que contiene Gráfico de superficie&#10;&#10;Descripción generada automáticamente" id="340" name="image1.png"/>
          <a:graphic>
            <a:graphicData uri="http://schemas.openxmlformats.org/drawingml/2006/picture">
              <pic:pic>
                <pic:nvPicPr>
                  <pic:cNvPr descr="Imagen que contiene Gráfico de superficie&#10;&#10;Descripción generada automáticamente" id="0" name="image1.png"/>
                  <pic:cNvPicPr preferRelativeResize="0"/>
                </pic:nvPicPr>
                <pic:blipFill>
                  <a:blip r:embed="rId2"/>
                  <a:srcRect b="0" l="0" r="0" t="0"/>
                  <a:stretch>
                    <a:fillRect/>
                  </a:stretch>
                </pic:blipFill>
                <pic:spPr>
                  <a:xfrm>
                    <a:off x="0" y="0"/>
                    <a:ext cx="10030778" cy="76295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header" Target="header1.xml"/><Relationship Id="rId21" Type="http://schemas.openxmlformats.org/officeDocument/2006/relationships/image" Target="media/image8.png"/><Relationship Id="rId24" Type="http://schemas.openxmlformats.org/officeDocument/2006/relationships/footer" Target="foot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4.png"/><Relationship Id="rId8" Type="http://schemas.openxmlformats.org/officeDocument/2006/relationships/hyperlink" Target="http://187.217.183.153/" TargetMode="External"/><Relationship Id="rId11" Type="http://schemas.openxmlformats.org/officeDocument/2006/relationships/image" Target="media/image12.png"/><Relationship Id="rId10" Type="http://schemas.openxmlformats.org/officeDocument/2006/relationships/image" Target="media/image7.png"/><Relationship Id="rId13" Type="http://schemas.openxmlformats.org/officeDocument/2006/relationships/image" Target="media/image11.png"/><Relationship Id="rId12" Type="http://schemas.openxmlformats.org/officeDocument/2006/relationships/image" Target="media/image9.png"/><Relationship Id="rId15" Type="http://schemas.openxmlformats.org/officeDocument/2006/relationships/image" Target="media/image4.png"/><Relationship Id="rId14" Type="http://schemas.openxmlformats.org/officeDocument/2006/relationships/image" Target="media/image15.png"/><Relationship Id="rId17" Type="http://schemas.openxmlformats.org/officeDocument/2006/relationships/image" Target="media/image2.png"/><Relationship Id="rId16" Type="http://schemas.openxmlformats.org/officeDocument/2006/relationships/image" Target="media/image6.png"/><Relationship Id="rId19" Type="http://schemas.openxmlformats.org/officeDocument/2006/relationships/image" Target="media/image3.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fbW2Nu7c3KurOsrnOKOLe47lug==">CgMxLjAaHwoBMBIaChgICVIUChJ0YWJsZS5ldDhjZWlybndiZm0yCWguMzBqMHpsbDINaC41N2o1N3JpOHUxNDIOaC55MmZkbmJvZnRoMjkyDmgudXllMDN6cjBuY211MgloLjFmb2I5dGU4AHIhMUgyUUlPamtBbWVtbEZobXdGX2N6N1F3cUxORWF1Q0t6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