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470"/>
        <w:gridCol w:w="4605"/>
        <w:tblGridChange w:id="0">
          <w:tblGrid>
            <w:gridCol w:w="4950"/>
            <w:gridCol w:w="4470"/>
            <w:gridCol w:w="4605"/>
          </w:tblGrid>
        </w:tblGridChange>
      </w:tblGrid>
      <w:tr>
        <w:trPr>
          <w:cantSplit w:val="0"/>
          <w:trHeight w:val="692.1104736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3009900" cy="1999338"/>
                  <wp:effectExtent b="0" l="0" r="0" t="0"/>
                  <wp:docPr id="315" name="image13.png"/>
                  <a:graphic>
                    <a:graphicData uri="http://schemas.openxmlformats.org/drawingml/2006/picture">
                      <pic:pic>
                        <pic:nvPicPr>
                          <pic:cNvPr id="0" name="image13.png"/>
                          <pic:cNvPicPr preferRelativeResize="0"/>
                        </pic:nvPicPr>
                        <pic:blipFill>
                          <a:blip r:embed="rId7"/>
                          <a:srcRect b="8246" l="0" r="0" t="10423"/>
                          <a:stretch>
                            <a:fillRect/>
                          </a:stretch>
                        </pic:blipFill>
                        <pic:spPr>
                          <a:xfrm>
                            <a:off x="0" y="0"/>
                            <a:ext cx="3009900" cy="1999338"/>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"Candidatas y Candidatos, Conóceles"</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Instituto Electoral del Estado de México</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w:t>
            </w:r>
          </w:p>
        </w:tc>
      </w:tr>
      <w:tr>
        <w:trPr>
          <w:cantSplit w:val="0"/>
          <w:trHeight w:val="70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24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https://conoceles.ieem.org.mx/conoceles2024/#/</w:t>
              </w:r>
            </w:hyperlink>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2023</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8">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que pone a disposición información acerca de los candidatos y candidatas de la entidad del proceso electoral 2024 como información curricular, trayectoria profesional, laboral, política y de identidad y sus principales propuestas de campaña, se incluyen estadísticas y gráficas de análisis, convenios de coalición y candidatura común, se incorporaron las plataformas electorales, los bloques de competitividad, los acuerdos emitidos por el Consejo General sobre acciones afirmativas, la herramienta electrónica “Ubica tu casilla”, finalizando con un video tutorial que explica paso a paso cómo funciona el Sistema, de manera clara y fácil,  cuenta con una encuesta que permite recuperar comentarios sobre la información presentada, cuenta con información en formato de datos abiertos CSV.</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Coadyuvar con la ciudadanía con la información suficiente y necesaria  en formato fácil y accesible que le permitiera ejercer el dos de junio de la presente anualidad, su derecho al voto de manera libre e informada; transparentar las candidaturas, visibilizar a las candidatas y candidatos que fueron postulados.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transparentar la información de las candidatas y los candidatos que contienden por los cargos de elección popular, proporcionando contenidos adicionales que permitieron contar con un Sistema integral con información relevante, oportuna y necesaria que de manera conjunta le permitió a la ciudadanía mexiquense emitir su voto de manera libre e informada.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maximiza la transparencia de la información generada administrada y poseída por el árbitro electoral, en coadyuvancia con los actores políticos.</w:t>
            </w:r>
          </w:p>
          <w:p w:rsidR="00000000" w:rsidDel="00000000" w:rsidP="00000000" w:rsidRDefault="00000000" w:rsidRPr="00000000" w14:paraId="00000023">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Fortalece la participación ciudadana mediante mecanismos de interacción, para analizar, evaluar, comparar y contrastar la oferta política existente y emitir su voto de manera razonada.</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8">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A">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2C">
      <w:pPr>
        <w:spacing w:after="0" w:line="240" w:lineRule="auto"/>
        <w:ind w:left="-708" w:firstLine="0"/>
        <w:jc w:val="left"/>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14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1485"/>
            <w:gridCol w:w="2835"/>
            <w:gridCol w:w="5145"/>
            <w:tblGridChange w:id="0">
              <w:tblGrid>
                <w:gridCol w:w="4680"/>
                <w:gridCol w:w="1485"/>
                <w:gridCol w:w="2835"/>
                <w:gridCol w:w="514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86050" cy="469137"/>
                      <wp:effectExtent b="0" l="0" r="0" t="0"/>
                      <wp:docPr id="3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686050" cy="46913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096327" cy="800608"/>
                      <wp:effectExtent b="0" l="0" r="0" t="0"/>
                      <wp:docPr id="311" name="image7.png"/>
                      <a:graphic>
                        <a:graphicData uri="http://schemas.openxmlformats.org/drawingml/2006/picture">
                          <pic:pic>
                            <pic:nvPicPr>
                              <pic:cNvPr id="0" name="image7.png"/>
                              <pic:cNvPicPr preferRelativeResize="0"/>
                            </pic:nvPicPr>
                            <pic:blipFill>
                              <a:blip r:embed="rId10"/>
                              <a:srcRect b="31327" l="0" r="0" t="0"/>
                              <a:stretch>
                                <a:fillRect/>
                              </a:stretch>
                            </pic:blipFill>
                            <pic:spPr>
                              <a:xfrm>
                                <a:off x="0" y="0"/>
                                <a:ext cx="1096327" cy="800608"/>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Información vigente para consulta.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39377" cy="538494"/>
                      <wp:effectExtent b="0" l="0" r="0" t="0"/>
                      <wp:docPr id="3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39377" cy="53849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67902" cy="2818907"/>
                      <wp:effectExtent b="0" l="0" r="0" t="0"/>
                      <wp:docPr id="30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267902" cy="2818907"/>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83809" cy="2248852"/>
                      <wp:effectExtent b="0" l="0" r="0" t="0"/>
                      <wp:docPr id="32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83809" cy="2248852"/>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otras fuentes.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82948" cy="2495453"/>
                      <wp:effectExtent b="0" l="0" r="0" t="0"/>
                      <wp:docPr id="322"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82948" cy="249545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otras fuentes  primarias de información.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before="0" w:line="240" w:lineRule="auto"/>
                  <w:ind w:left="0" w:firstLine="0"/>
                  <w:jc w:val="both"/>
                  <w:rPr>
                    <w:rFonts w:ascii="Palatino Linotype" w:cs="Palatino Linotype" w:eastAsia="Palatino Linotype" w:hAnsi="Palatino Linotype"/>
                    <w:sz w:val="20"/>
                    <w:szCs w:val="20"/>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tcBorders>
                  <w:lef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99263" cy="521611"/>
                      <wp:effectExtent b="0" l="0" r="0" t="0"/>
                      <wp:docPr id="316"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999263" cy="521611"/>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7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62469" cy="1707527"/>
                      <wp:effectExtent b="0" l="0" r="0" t="0"/>
                      <wp:docPr id="313"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362469" cy="170752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el listado de información de las y los candidatos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00589" cy="768973"/>
                      <wp:effectExtent b="0" l="0" r="0" t="0"/>
                      <wp:docPr id="3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200589" cy="76897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86977" cy="1461420"/>
                      <wp:effectExtent b="0" l="0" r="0" t="0"/>
                      <wp:docPr id="31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486977" cy="1461420"/>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Refleja la utilidad e importancia del micrositio.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72727" cy="1616572"/>
                      <wp:effectExtent b="0" l="0" r="0" t="0"/>
                      <wp:docPr id="32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772727" cy="161657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25042" cy="3368133"/>
                      <wp:effectExtent b="0" l="0" r="0" t="0"/>
                      <wp:docPr id="32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225042" cy="336813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2">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adecuaciones al micrositio para la mejora continua.</w:t>
                </w:r>
              </w:p>
              <w:p w:rsidR="00000000" w:rsidDel="00000000" w:rsidP="00000000" w:rsidRDefault="00000000" w:rsidRPr="00000000" w14:paraId="000000A7">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bottom w:color="000000" w:space="0" w:sz="8"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Permitió constatar información relevante de candidat@s para la toma de decisiones de los votantes.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34602" cy="2566994"/>
                      <wp:effectExtent b="0" l="0" r="0" t="0"/>
                      <wp:docPr id="318"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534602" cy="2566994"/>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tcBorders>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medios impresos y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820227" cy="1403259"/>
                      <wp:effectExtent b="0" l="0" r="0" t="0"/>
                      <wp:docPr id="309"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820227" cy="1403259"/>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A">
      <w:pPr>
        <w:jc w:val="both"/>
        <w:rPr>
          <w:rFonts w:ascii="Arial" w:cs="Arial" w:eastAsia="Arial" w:hAnsi="Arial"/>
        </w:rPr>
      </w:pPr>
      <w:r w:rsidDel="00000000" w:rsidR="00000000" w:rsidRPr="00000000">
        <w:rPr>
          <w:rtl w:val="0"/>
        </w:rPr>
      </w:r>
    </w:p>
    <w:sectPr>
      <w:headerReference r:id="rId23" w:type="default"/>
      <w:footerReference r:id="rId24"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C">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10" name="image5.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5.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-1076324</wp:posOffset>
          </wp:positionH>
          <wp:positionV relativeFrom="paragraph">
            <wp:posOffset>-180339</wp:posOffset>
          </wp:positionV>
          <wp:extent cx="10058400" cy="7805103"/>
          <wp:effectExtent b="0" l="0" r="0" t="0"/>
          <wp:wrapNone/>
          <wp:docPr descr="Imagen que contiene Gráfico de superficie&#10;&#10;Descripción generada automáticamente" id="307" name="image8.png"/>
          <a:graphic>
            <a:graphicData uri="http://schemas.openxmlformats.org/drawingml/2006/picture">
              <pic:pic>
                <pic:nvPicPr>
                  <pic:cNvPr descr="Imagen que contiene Gráfico de superficie&#10;&#10;Descripción generada automáticamente" id="0" name="image8.png"/>
                  <pic:cNvPicPr preferRelativeResize="0"/>
                </pic:nvPicPr>
                <pic:blipFill>
                  <a:blip r:embed="rId2"/>
                  <a:srcRect b="0" l="0" r="0" t="0"/>
                  <a:stretch>
                    <a:fillRect/>
                  </a:stretch>
                </pic:blipFill>
                <pic:spPr>
                  <a:xfrm>
                    <a:off x="0" y="0"/>
                    <a:ext cx="10058400" cy="780510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2.png"/><Relationship Id="rId22" Type="http://schemas.openxmlformats.org/officeDocument/2006/relationships/image" Target="media/image12.png"/><Relationship Id="rId10" Type="http://schemas.openxmlformats.org/officeDocument/2006/relationships/image" Target="media/image7.png"/><Relationship Id="rId21" Type="http://schemas.openxmlformats.org/officeDocument/2006/relationships/image" Target="media/image3.pn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15.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16.png"/><Relationship Id="rId7" Type="http://schemas.openxmlformats.org/officeDocument/2006/relationships/image" Target="media/image13.png"/><Relationship Id="rId8" Type="http://schemas.openxmlformats.org/officeDocument/2006/relationships/hyperlink" Target="https://conoceles.ieem.org.mx/conoceles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0XuuxzsbtcHDIkgrfTy947XhQ==">CgMxLjAaHwoBMBIaChgICVIUChJ0YWJsZS5nMmd1MGNhMXl5ejIyCWguMzBqMHpsbDINaC41N2o1N3JpOHUxNDIOaC55MmZkbmJvZnRoMjk4AHIhMUQwbHVEb1NiYWFIQV9JNjA0X2NXWGhQbTkycWM3R25G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