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419"/>
          <w:tab w:val="right" w:leader="none" w:pos="8838"/>
        </w:tabs>
        <w:spacing w:after="0" w:line="240" w:lineRule="auto"/>
        <w:ind w:hanging="709"/>
        <w:jc w:val="center"/>
        <w:rPr>
          <w:rFonts w:ascii="Palatino Linotype" w:cs="Palatino Linotype" w:eastAsia="Palatino Linotype" w:hAnsi="Palatino Linotype"/>
          <w:b w:val="1"/>
          <w:sz w:val="20"/>
          <w:szCs w:val="20"/>
        </w:rPr>
      </w:pPr>
      <w:r w:rsidDel="00000000" w:rsidR="00000000" w:rsidRPr="00000000">
        <w:rPr>
          <w:rtl w:val="0"/>
        </w:rPr>
      </w:r>
    </w:p>
    <w:p w:rsidR="00000000" w:rsidDel="00000000" w:rsidP="00000000" w:rsidRDefault="00000000" w:rsidRPr="00000000" w14:paraId="00000002">
      <w:pPr>
        <w:tabs>
          <w:tab w:val="center" w:leader="none" w:pos="4419"/>
          <w:tab w:val="right" w:leader="none" w:pos="8838"/>
        </w:tabs>
        <w:spacing w:after="0" w:line="240" w:lineRule="auto"/>
        <w:ind w:hanging="709"/>
        <w:jc w:val="center"/>
        <w:rPr>
          <w:rFonts w:ascii="Arial" w:cs="Arial" w:eastAsia="Arial" w:hAnsi="Arial"/>
        </w:rPr>
      </w:pPr>
      <w:r w:rsidDel="00000000" w:rsidR="00000000" w:rsidRPr="00000000">
        <w:rPr>
          <w:rFonts w:ascii="Palatino Linotype" w:cs="Palatino Linotype" w:eastAsia="Palatino Linotype" w:hAnsi="Palatino Linotype"/>
          <w:b w:val="1"/>
          <w:sz w:val="20"/>
          <w:szCs w:val="20"/>
          <w:rtl w:val="0"/>
        </w:rPr>
        <w:t xml:space="preserve">FICHA TÉCNICA</w:t>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rPr>
      </w:pPr>
      <w:r w:rsidDel="00000000" w:rsidR="00000000" w:rsidRPr="00000000">
        <w:rPr>
          <w:rtl w:val="0"/>
        </w:rPr>
      </w:r>
    </w:p>
    <w:tbl>
      <w:tblPr>
        <w:tblStyle w:val="Table1"/>
        <w:tblW w:w="10080.0" w:type="dxa"/>
        <w:jc w:val="left"/>
        <w:tblInd w:w="-645.0" w:type="dxa"/>
        <w:tblLayout w:type="fixed"/>
        <w:tblLook w:val="0400"/>
      </w:tblPr>
      <w:tblGrid>
        <w:gridCol w:w="4905"/>
        <w:gridCol w:w="2700"/>
        <w:gridCol w:w="2475"/>
        <w:tblGridChange w:id="0">
          <w:tblGrid>
            <w:gridCol w:w="4905"/>
            <w:gridCol w:w="2700"/>
            <w:gridCol w:w="2475"/>
          </w:tblGrid>
        </w:tblGridChange>
      </w:tblGrid>
      <w:tr>
        <w:trPr>
          <w:cantSplit w:val="0"/>
          <w:trHeight w:val="492.1104736328125" w:hRule="atLeast"/>
          <w:tblHeader w:val="1"/>
        </w:trPr>
        <w:tc>
          <w:tcPr>
            <w:vMerge w:val="restart"/>
            <w:tcBorders>
              <w:top w:color="000000" w:space="0" w:sz="4" w:val="single"/>
              <w:left w:color="000000" w:space="0" w:sz="4" w:val="single"/>
              <w:right w:color="000000" w:space="0" w:sz="4" w:val="single"/>
            </w:tcBorders>
          </w:tcPr>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5">
            <w:pPr>
              <w:spacing w:after="0" w:line="240" w:lineRule="auto"/>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Pr>
              <w:drawing>
                <wp:inline distB="114300" distT="114300" distL="114300" distR="114300">
                  <wp:extent cx="2752095" cy="1473799"/>
                  <wp:effectExtent b="0" l="0" r="0" t="0"/>
                  <wp:docPr id="299" name="image1.png"/>
                  <a:graphic>
                    <a:graphicData uri="http://schemas.openxmlformats.org/drawingml/2006/picture">
                      <pic:pic>
                        <pic:nvPicPr>
                          <pic:cNvPr id="0" name="image1.png"/>
                          <pic:cNvPicPr preferRelativeResize="0"/>
                        </pic:nvPicPr>
                        <pic:blipFill>
                          <a:blip r:embed="rId7"/>
                          <a:srcRect b="30430" l="41107" r="2590" t="15972"/>
                          <a:stretch>
                            <a:fillRect/>
                          </a:stretch>
                        </pic:blipFill>
                        <pic:spPr>
                          <a:xfrm>
                            <a:off x="0" y="0"/>
                            <a:ext cx="2752095" cy="1473799"/>
                          </a:xfrm>
                          <a:prstGeom prst="rect"/>
                          <a:ln/>
                        </pic:spPr>
                      </pic:pic>
                    </a:graphicData>
                  </a:graphic>
                </wp:inline>
              </w:drawing>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 la práctica:</w:t>
            </w:r>
          </w:p>
          <w:p w:rsidR="00000000" w:rsidDel="00000000" w:rsidP="00000000" w:rsidRDefault="00000000" w:rsidRPr="00000000" w14:paraId="00000007">
            <w:pPr>
              <w:jc w:val="center"/>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“Acciones por la paz”</w:t>
            </w:r>
            <w:r w:rsidDel="00000000" w:rsidR="00000000" w:rsidRPr="00000000">
              <w:rPr>
                <w:rtl w:val="0"/>
              </w:rPr>
            </w:r>
          </w:p>
        </w:tc>
      </w:tr>
      <w:tr>
        <w:trPr>
          <w:cantSplit w:val="0"/>
          <w:trHeight w:val="544"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Nombre del Sujeto Obligado</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Ayuntamiento de </w:t>
            </w:r>
            <w:r w:rsidDel="00000000" w:rsidR="00000000" w:rsidRPr="00000000">
              <w:rPr>
                <w:rFonts w:ascii="Palatino Linotype" w:cs="Palatino Linotype" w:eastAsia="Palatino Linotype" w:hAnsi="Palatino Linotype"/>
                <w:rtl w:val="0"/>
              </w:rPr>
              <w:t xml:space="preserve">Calimaya</w:t>
            </w:r>
            <w:r w:rsidDel="00000000" w:rsidR="00000000" w:rsidRPr="00000000">
              <w:rPr>
                <w:rtl w:val="0"/>
              </w:rPr>
            </w:r>
          </w:p>
        </w:tc>
      </w:tr>
      <w:tr>
        <w:trPr>
          <w:cantSplit w:val="0"/>
          <w:trHeight w:val="276"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Área responsable de la práctica</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Unidad de Transparencia</w:t>
            </w:r>
          </w:p>
        </w:tc>
      </w:tr>
      <w:tr>
        <w:trPr>
          <w:cantSplit w:val="0"/>
          <w:trHeight w:val="537.1104736328125"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Disponible para su consulta en:</w:t>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rPr>
            </w:pPr>
            <w:hyperlink r:id="rId8">
              <w:r w:rsidDel="00000000" w:rsidR="00000000" w:rsidRPr="00000000">
                <w:rPr>
                  <w:rFonts w:ascii="Palatino Linotype" w:cs="Palatino Linotype" w:eastAsia="Palatino Linotype" w:hAnsi="Palatino Linotype"/>
                  <w:color w:val="1155cc"/>
                  <w:u w:val="single"/>
                  <w:rtl w:val="0"/>
                </w:rPr>
                <w:t xml:space="preserve">https://drive.google.com/drive/folders/1_ADi8xg2cUZCEm3xBxUAlvw3AJd2pTzw</w:t>
              </w:r>
            </w:hyperlink>
            <w:r w:rsidDel="00000000" w:rsidR="00000000" w:rsidRPr="00000000">
              <w:rPr>
                <w:rFonts w:ascii="Palatino Linotype" w:cs="Palatino Linotype" w:eastAsia="Palatino Linotype" w:hAnsi="Palatino Linotype"/>
                <w:rtl w:val="0"/>
              </w:rPr>
              <w:t xml:space="preserve"> </w:t>
            </w:r>
          </w:p>
        </w:tc>
      </w:tr>
      <w:tr>
        <w:trPr>
          <w:cantSplit w:val="0"/>
          <w:trHeight w:val="520"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Periodo:</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w:t>
            </w:r>
            <w:r w:rsidDel="00000000" w:rsidR="00000000" w:rsidRPr="00000000">
              <w:rPr>
                <w:rFonts w:ascii="Palatino Linotype" w:cs="Palatino Linotype" w:eastAsia="Palatino Linotype" w:hAnsi="Palatino Linotype"/>
                <w:rtl w:val="0"/>
              </w:rPr>
              <w:t xml:space="preserve">2023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Alcance</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Municipal</w:t>
            </w:r>
            <w:r w:rsidDel="00000000" w:rsidR="00000000" w:rsidRPr="00000000">
              <w:rPr>
                <w:rtl w:val="0"/>
              </w:rPr>
            </w:r>
          </w:p>
        </w:tc>
      </w:tr>
      <w:tr>
        <w:trPr>
          <w:cantSplit w:val="0"/>
          <w:trHeight w:val="395" w:hRule="atLeast"/>
          <w:tblHeader w:val="1"/>
        </w:trPr>
        <w:tc>
          <w:tcPr>
            <w:vMerge w:val="continue"/>
            <w:tcBorders>
              <w:top w:color="000000" w:space="0" w:sz="4" w:val="single"/>
              <w:left w:color="000000" w:space="0" w:sz="4" w:val="single"/>
              <w:right w:color="000000" w:space="0" w:sz="4" w:val="single"/>
            </w:tcBorders>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Lugar: </w:t>
            </w:r>
            <w:r w:rsidDel="00000000" w:rsidR="00000000" w:rsidRPr="00000000">
              <w:rPr>
                <w:rFonts w:ascii="Palatino Linotype" w:cs="Palatino Linotype" w:eastAsia="Palatino Linotype" w:hAnsi="Palatino Linotype"/>
                <w:rtl w:val="0"/>
              </w:rPr>
              <w:t xml:space="preserve">Calimaya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1"/>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Puntuación total:</w:t>
            </w:r>
            <w:r w:rsidDel="00000000" w:rsidR="00000000" w:rsidRPr="00000000">
              <w:rPr>
                <w:rFonts w:ascii="Palatino Linotype" w:cs="Palatino Linotype" w:eastAsia="Palatino Linotype" w:hAnsi="Palatino Linotype"/>
                <w:b w:val="0"/>
                <w:i w:val="0"/>
                <w:smallCaps w:val="0"/>
                <w:strike w:val="0"/>
                <w:color w:val="000000"/>
                <w:u w:val="none"/>
                <w:shd w:fill="auto" w:val="clear"/>
                <w:vertAlign w:val="baseline"/>
                <w:rtl w:val="0"/>
              </w:rPr>
              <w:t xml:space="preserve"> 100</w:t>
            </w:r>
            <w:r w:rsidDel="00000000" w:rsidR="00000000" w:rsidRPr="00000000">
              <w:rPr>
                <w:rtl w:val="0"/>
              </w:rPr>
            </w:r>
          </w:p>
        </w:tc>
      </w:tr>
    </w:tbl>
    <w:p w:rsidR="00000000" w:rsidDel="00000000" w:rsidP="00000000" w:rsidRDefault="00000000" w:rsidRPr="00000000" w14:paraId="0000001B">
      <w:pPr>
        <w:spacing w:after="0" w:lineRule="auto"/>
        <w:jc w:val="center"/>
        <w:rPr>
          <w:rFonts w:ascii="Palatino Linotype" w:cs="Palatino Linotype" w:eastAsia="Palatino Linotype" w:hAnsi="Palatino Linotype"/>
          <w:b w:val="1"/>
        </w:rPr>
      </w:pPr>
      <w:bookmarkStart w:colFirst="0" w:colLast="0" w:name="_heading=h.30j0zll" w:id="0"/>
      <w:bookmarkEnd w:id="0"/>
      <w:r w:rsidDel="00000000" w:rsidR="00000000" w:rsidRPr="00000000">
        <w:rPr>
          <w:rtl w:val="0"/>
        </w:rPr>
      </w:r>
    </w:p>
    <w:tbl>
      <w:tblPr>
        <w:tblStyle w:val="Table2"/>
        <w:tblW w:w="10005.0" w:type="dxa"/>
        <w:jc w:val="left"/>
        <w:tblInd w:w="-572.0" w:type="dxa"/>
        <w:tblLayout w:type="fixed"/>
        <w:tblLook w:val="0400"/>
      </w:tblPr>
      <w:tblGrid>
        <w:gridCol w:w="4650"/>
        <w:gridCol w:w="5355"/>
        <w:tblGridChange w:id="0">
          <w:tblGrid>
            <w:gridCol w:w="4650"/>
            <w:gridCol w:w="5355"/>
          </w:tblGrid>
        </w:tblGridChange>
      </w:tblGrid>
      <w:tr>
        <w:trPr>
          <w:cantSplit w:val="0"/>
          <w:trHeight w:val="1188"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¿Qué es y cómo funciona la práctica?</w:t>
            </w:r>
            <w:r w:rsidDel="00000000" w:rsidR="00000000" w:rsidRPr="00000000">
              <w:rPr>
                <w:rtl w:val="0"/>
              </w:rPr>
            </w:r>
          </w:p>
          <w:p w:rsidR="00000000" w:rsidDel="00000000" w:rsidP="00000000" w:rsidRDefault="00000000" w:rsidRPr="00000000" w14:paraId="0000001D">
            <w:pPr>
              <w:ind w:left="0" w:firstLine="0"/>
              <w:jc w:val="both"/>
              <w:rPr>
                <w:rFonts w:ascii="Arial" w:cs="Arial" w:eastAsia="Arial" w:hAnsi="Arial"/>
                <w:u w:val="single"/>
              </w:rPr>
            </w:pPr>
            <w:r w:rsidDel="00000000" w:rsidR="00000000" w:rsidRPr="00000000">
              <w:rPr>
                <w:rFonts w:ascii="Palatino Linotype" w:cs="Palatino Linotype" w:eastAsia="Palatino Linotype" w:hAnsi="Palatino Linotype"/>
                <w:rtl w:val="0"/>
              </w:rPr>
              <w:t xml:space="preserve">Son pláticas, material y asesorías generadas por esta dependencia municipal y posteriormente se agendan fechas con las diferentes escuelas en las cuales se realizarán las capacitaciones que resulten de interés para los participantes.</w:t>
            </w:r>
            <w:r w:rsidDel="00000000" w:rsidR="00000000" w:rsidRPr="00000000">
              <w:rPr>
                <w:rtl w:val="0"/>
              </w:rPr>
            </w:r>
          </w:p>
        </w:tc>
      </w:tr>
      <w:tr>
        <w:trPr>
          <w:cantSplit w:val="0"/>
          <w:trHeight w:val="1522"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Objetivo:</w:t>
            </w:r>
            <w:r w:rsidDel="00000000" w:rsidR="00000000" w:rsidRPr="00000000">
              <w:rPr>
                <w:rtl w:val="0"/>
              </w:rPr>
            </w:r>
          </w:p>
          <w:p w:rsidR="00000000" w:rsidDel="00000000" w:rsidP="00000000" w:rsidRDefault="00000000" w:rsidRPr="00000000" w14:paraId="00000020">
            <w:pPr>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Llevar a las diferentes escuelas del municipio, información diversa sobre la prevención de la violencia digital y la protección de sus derechos humanos.</w:t>
            </w:r>
          </w:p>
          <w:p w:rsidR="00000000" w:rsidDel="00000000" w:rsidP="00000000" w:rsidRDefault="00000000" w:rsidRPr="00000000" w14:paraId="00000021">
            <w:pPr>
              <w:spacing w:after="0" w:lineRule="auto"/>
              <w:rPr>
                <w:rFonts w:ascii="Palatino Linotype" w:cs="Palatino Linotype" w:eastAsia="Palatino Linotype" w:hAnsi="Palatino Linotyp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¿Por qué se desarrolló?</w:t>
            </w:r>
            <w:r w:rsidDel="00000000" w:rsidR="00000000" w:rsidRPr="00000000">
              <w:rPr>
                <w:rtl w:val="0"/>
              </w:rPr>
            </w:r>
          </w:p>
          <w:p w:rsidR="00000000" w:rsidDel="00000000" w:rsidP="00000000" w:rsidRDefault="00000000" w:rsidRPr="00000000" w14:paraId="00000023">
            <w:pPr>
              <w:jc w:val="both"/>
              <w:rPr>
                <w:rFonts w:ascii="Palatino Linotype" w:cs="Palatino Linotype" w:eastAsia="Palatino Linotype" w:hAnsi="Palatino Linotype"/>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Como parte del esfuerzo y compromiso que mantiene esta administración y la suma de diferentes unidades administrativas para ofrecer información de utilidad y vanguardia, se impulsaron estas jornadas, beneficiando a la comunidad escolar.</w:t>
            </w:r>
            <w:r w:rsidDel="00000000" w:rsidR="00000000" w:rsidRPr="00000000">
              <w:rPr>
                <w:rtl w:val="0"/>
              </w:rPr>
            </w:r>
          </w:p>
        </w:tc>
      </w:tr>
      <w:tr>
        <w:trPr>
          <w:cantSplit w:val="0"/>
          <w:trHeight w:val="915"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Beneficios o e</w:t>
            </w:r>
            <w:r w:rsidDel="00000000" w:rsidR="00000000" w:rsidRPr="00000000">
              <w:rPr>
                <w:rFonts w:ascii="Palatino Linotype" w:cs="Palatino Linotype" w:eastAsia="Palatino Linotype" w:hAnsi="Palatino Linotype"/>
                <w:b w:val="1"/>
                <w:i w:val="0"/>
                <w:smallCaps w:val="0"/>
                <w:strike w:val="0"/>
                <w:color w:val="000000"/>
                <w:highlight w:val="white"/>
                <w:u w:val="none"/>
                <w:vertAlign w:val="baseline"/>
                <w:rtl w:val="0"/>
              </w:rPr>
              <w:t xml:space="preserve">fectos positivos generados a partir de la información difundida</w:t>
            </w:r>
            <w:r w:rsidDel="00000000" w:rsidR="00000000" w:rsidRPr="00000000">
              <w:rPr>
                <w:rtl w:val="0"/>
              </w:rPr>
            </w:r>
          </w:p>
          <w:p w:rsidR="00000000" w:rsidDel="00000000" w:rsidP="00000000" w:rsidRDefault="00000000" w:rsidRPr="00000000" w14:paraId="00000025">
            <w:pPr>
              <w:ind w:left="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Se evitó la descoordinación y se optimizó la comunicación entre las dependencias municipales y autoridades escolares.</w:t>
            </w:r>
          </w:p>
        </w:tc>
      </w:tr>
      <w:tr>
        <w:trPr>
          <w:cantSplit w:val="0"/>
          <w:trHeight w:val="821" w:hRule="atLeast"/>
          <w:tblHeader w:val="0"/>
        </w:trPr>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¿La práctica cuenta con mecanismos de participación ciudadana durante el proceso?</w:t>
            </w: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rtl w:val="0"/>
              </w:rPr>
              <w:t xml:space="preserve">Sí, a través de una reunión de trabajo con autoridades escolares  para definir la agenda de pláticas, además cuentan con entrevistas y preguntas del tema de su interés.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u w:val="none"/>
                <w:shd w:fill="auto" w:val="clear"/>
                <w:vertAlign w:val="baseline"/>
                <w:rtl w:val="0"/>
              </w:rPr>
              <w:t xml:space="preserve">¿Cómo contribuye a la apertura gubernamental?</w:t>
            </w:r>
            <w:r w:rsidDel="00000000" w:rsidR="00000000" w:rsidRPr="00000000">
              <w:rPr>
                <w:rtl w:val="0"/>
              </w:rPr>
            </w:r>
          </w:p>
          <w:p w:rsidR="00000000" w:rsidDel="00000000" w:rsidP="00000000" w:rsidRDefault="00000000" w:rsidRPr="00000000" w14:paraId="0000002A">
            <w:pPr>
              <w:spacing w:after="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la participación ciudadana</w:t>
            </w:r>
          </w:p>
          <w:p w:rsidR="00000000" w:rsidDel="00000000" w:rsidP="00000000" w:rsidRDefault="00000000" w:rsidRPr="00000000" w14:paraId="0000002B">
            <w:pPr>
              <w:spacing w:after="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Optimizar la toma de decisiones de autoridades, ciudadanos y población en general.</w:t>
            </w:r>
          </w:p>
        </w:tc>
      </w:tr>
      <w:tr>
        <w:trPr>
          <w:cantSplit w:val="0"/>
          <w:trHeight w:val="1024"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70.0" w:type="dxa"/>
              <w:bottom w:w="0.0" w:type="dxa"/>
              <w:right w:w="70.0" w:type="dxa"/>
            </w:tcMar>
          </w:tcPr>
          <w:p w:rsidR="00000000" w:rsidDel="00000000" w:rsidP="00000000" w:rsidRDefault="00000000" w:rsidRPr="00000000" w14:paraId="0000002C">
            <w:pPr>
              <w:spacing w:after="0" w:line="240" w:lineRule="auto"/>
              <w:jc w:val="both"/>
              <w:rPr>
                <w:rFonts w:ascii="Palatino Linotype" w:cs="Palatino Linotype" w:eastAsia="Palatino Linotype" w:hAnsi="Palatino Linotype"/>
                <w:b w:val="0"/>
                <w:i w:val="0"/>
                <w:smallCaps w:val="0"/>
                <w:strike w:val="0"/>
                <w:color w:val="000000"/>
                <w:u w:val="none"/>
                <w:shd w:fill="auto" w:val="clear"/>
                <w:vertAlign w:val="baseline"/>
              </w:rPr>
            </w:pPr>
            <w:r w:rsidDel="00000000" w:rsidR="00000000" w:rsidRPr="00000000">
              <w:rPr>
                <w:rFonts w:ascii="Palatino Linotype" w:cs="Palatino Linotype" w:eastAsia="Palatino Linotype" w:hAnsi="Palatino Linotype"/>
                <w:b w:val="1"/>
                <w:rtl w:val="0"/>
              </w:rPr>
              <w:t xml:space="preserve">Descripción:</w:t>
            </w:r>
            <w:r w:rsidDel="00000000" w:rsidR="00000000" w:rsidRPr="00000000">
              <w:rPr>
                <w:rtl w:val="0"/>
              </w:rPr>
            </w:r>
          </w:p>
          <w:p w:rsidR="00000000" w:rsidDel="00000000" w:rsidP="00000000" w:rsidRDefault="00000000" w:rsidRPr="00000000" w14:paraId="0000002D">
            <w:pPr>
              <w:jc w:val="both"/>
              <w:rPr>
                <w:rFonts w:ascii="Palatino Linotype" w:cs="Palatino Linotype" w:eastAsia="Palatino Linotype" w:hAnsi="Palatino Linotype"/>
              </w:rPr>
            </w:pPr>
            <w:bookmarkStart w:colFirst="0" w:colLast="0" w:name="_heading=h.30j0zll" w:id="0"/>
            <w:bookmarkEnd w:id="0"/>
            <w:r w:rsidDel="00000000" w:rsidR="00000000" w:rsidRPr="00000000">
              <w:rPr>
                <w:rFonts w:ascii="Palatino Linotype" w:cs="Palatino Linotype" w:eastAsia="Palatino Linotype" w:hAnsi="Palatino Linotype"/>
                <w:rtl w:val="0"/>
              </w:rPr>
              <w:t xml:space="preserve">Esta práctica proporciona información sobre violencia digital y protección de los derechos humanos, con infografías y un listado de números telefónicos para la atención de la juventud, un catálogo de pláticas que ofrecen, las dependencias de la administración pública municipal responsables de ello, entre otras cosas. Esta práctica se ha llevado a las escuelas de nivel Secundaria y Bachillerato del Municipio, dando prioridad a la atención de las zonas con mayor grado de violencia, marginación y pobreza. Así mismo cuenta con información descargable en formato de datos abiertos “TXT” de las presentaciones que se dieron en las Escuelas, utilizando como medio de difusión alterno la entrega de trípticos con información de cómo prevenir la violencia digital. Para involucrar al ciudadano en ese ejercicio, lleva a cabo entrevistas y encuestas de satisfacción que permiten conocer si las personas que recibieron los contenidos tienen alguna aportación para mejorar los mismos. </w:t>
            </w:r>
            <w:r w:rsidDel="00000000" w:rsidR="00000000" w:rsidRPr="00000000">
              <w:rPr>
                <w:rtl w:val="0"/>
              </w:rPr>
            </w:r>
          </w:p>
        </w:tc>
      </w:tr>
    </w:tbl>
    <w:p w:rsidR="00000000" w:rsidDel="00000000" w:rsidP="00000000" w:rsidRDefault="00000000" w:rsidRPr="00000000" w14:paraId="0000002F">
      <w:pPr>
        <w:jc w:val="both"/>
        <w:rPr>
          <w:rFonts w:ascii="Arial" w:cs="Arial" w:eastAsia="Arial" w:hAnsi="Arial"/>
        </w:rPr>
      </w:pPr>
      <w:bookmarkStart w:colFirst="0" w:colLast="0" w:name="_heading=h.1fob9te" w:id="1"/>
      <w:bookmarkEnd w:id="1"/>
      <w:r w:rsidDel="00000000" w:rsidR="00000000" w:rsidRPr="00000000">
        <w:rPr>
          <w:rtl w:val="0"/>
        </w:rPr>
      </w:r>
    </w:p>
    <w:sectPr>
      <w:headerReference r:id="rId9" w:type="default"/>
      <w:footerReference r:id="rId10" w:type="default"/>
      <w:pgSz w:h="15840" w:w="12240" w:orient="portrait"/>
      <w:pgMar w:bottom="426" w:top="703" w:left="1701" w:right="1701" w:header="284" w:footer="12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Black">
    <w:embedRegular w:fontKey="{00000000-0000-0000-0000-000000000000}" r:id="rId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jc w:val="center"/>
      <w:rPr>
        <w:rFonts w:ascii="Arial Black" w:cs="Arial Black" w:eastAsia="Arial Black" w:hAnsi="Arial Black"/>
        <w:b w:val="1"/>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-1137281</wp:posOffset>
          </wp:positionH>
          <wp:positionV relativeFrom="paragraph">
            <wp:posOffset>-1177286</wp:posOffset>
          </wp:positionV>
          <wp:extent cx="8210550" cy="2508250"/>
          <wp:effectExtent b="0" l="0" r="0" t="0"/>
          <wp:wrapNone/>
          <wp:docPr id="301" name="image3.jpg"/>
          <a:graphic>
            <a:graphicData uri="http://schemas.openxmlformats.org/drawingml/2006/picture">
              <pic:pic>
                <pic:nvPicPr>
                  <pic:cNvPr id="0" name="image3.jpg"/>
                  <pic:cNvPicPr preferRelativeResize="0"/>
                </pic:nvPicPr>
                <pic:blipFill>
                  <a:blip r:embed="rId1"/>
                  <a:srcRect b="-949" l="0" r="0" t="45574"/>
                  <a:stretch>
                    <a:fillRect/>
                  </a:stretch>
                </pic:blipFill>
                <pic:spPr>
                  <a:xfrm>
                    <a:off x="0" y="0"/>
                    <a:ext cx="8210550" cy="2508250"/>
                  </a:xfrm>
                  <a:prstGeom prst="rect"/>
                  <a:ln/>
                </pic:spPr>
              </pic:pic>
            </a:graphicData>
          </a:graphic>
        </wp:anchor>
      </w:drawing>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ind w:hanging="709"/>
      <w:rPr>
        <w:color w:val="000000"/>
      </w:rPr>
    </w:pPr>
    <w:r w:rsidDel="00000000" w:rsidR="00000000" w:rsidRPr="00000000">
      <w:rPr/>
      <w:drawing>
        <wp:inline distB="0" distT="0" distL="0" distR="0">
          <wp:extent cx="1219200" cy="603250"/>
          <wp:effectExtent b="0" l="0" r="0" t="0"/>
          <wp:docPr descr="https://lh6.googleusercontent.com/jNsTCK7SJZV1G9JWz3KsjecHRN4qJBWoT1yqJ8zI3zdP1eyDVhfsZPKAbxD-9PH4L81amB6R4ly7ryAICARerfuunqGa48sgff2NtmnjPGjMrXalaO6TgZ9QPIAQbCVvAvSzKqdARw2yNhE-5_s2eg" id="302" name="image2.png"/>
          <a:graphic>
            <a:graphicData uri="http://schemas.openxmlformats.org/drawingml/2006/picture">
              <pic:pic>
                <pic:nvPicPr>
                  <pic:cNvPr descr="https://lh6.googleusercontent.com/jNsTCK7SJZV1G9JWz3KsjecHRN4qJBWoT1yqJ8zI3zdP1eyDVhfsZPKAbxD-9PH4L81amB6R4ly7ryAICARerfuunqGa48sgff2NtmnjPGjMrXalaO6TgZ9QPIAQbCVvAvSzKqdARw2yNhE-5_s2eg" id="0" name="image2.png"/>
                  <pic:cNvPicPr preferRelativeResize="0"/>
                </pic:nvPicPr>
                <pic:blipFill>
                  <a:blip r:embed="rId1"/>
                  <a:srcRect b="25360" l="27474" r="25000" t="5796"/>
                  <a:stretch>
                    <a:fillRect/>
                  </a:stretch>
                </pic:blipFill>
                <pic:spPr>
                  <a:xfrm>
                    <a:off x="0" y="0"/>
                    <a:ext cx="1219200" cy="603250"/>
                  </a:xfrm>
                  <a:prstGeom prst="rect"/>
                  <a:ln/>
                </pic:spPr>
              </pic:pic>
            </a:graphicData>
          </a:graphic>
        </wp:inline>
      </w:drawing>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-1080131</wp:posOffset>
          </wp:positionH>
          <wp:positionV relativeFrom="paragraph">
            <wp:posOffset>-1315081</wp:posOffset>
          </wp:positionV>
          <wp:extent cx="7808595" cy="9436100"/>
          <wp:effectExtent b="0" l="0" r="0" t="0"/>
          <wp:wrapNone/>
          <wp:docPr id="300" name="image3.jpg"/>
          <a:graphic>
            <a:graphicData uri="http://schemas.openxmlformats.org/drawingml/2006/picture">
              <pic:pic>
                <pic:nvPicPr>
                  <pic:cNvPr id="0" name="image3.jpg"/>
                  <pic:cNvPicPr preferRelativeResize="0"/>
                </pic:nvPicPr>
                <pic:blipFill>
                  <a:blip r:embed="rId2"/>
                  <a:srcRect b="0" l="0" r="0" t="6051"/>
                  <a:stretch>
                    <a:fillRect/>
                  </a:stretch>
                </pic:blipFill>
                <pic:spPr>
                  <a:xfrm rot="10800000">
                    <a:off x="0" y="0"/>
                    <a:ext cx="7808595" cy="94361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6"/>
    <w:tblPr>
      <w:tblStyleRowBandSize w:val="1"/>
      <w:tblStyleColBandSize w:val="1"/>
      <w:tblCellMar>
        <w:top w:w="41.0" w:type="dxa"/>
        <w:left w:w="106.0" w:type="dxa"/>
        <w:bottom w:w="0.0" w:type="dxa"/>
        <w:right w:w="67.0" w:type="dxa"/>
      </w:tblCellMar>
    </w:tblPr>
  </w:style>
  <w:style w:type="table" w:styleId="a0" w:customStyle="1">
    <w:basedOn w:val="TableNormal6"/>
    <w:tblPr>
      <w:tblStyleRowBandSize w:val="1"/>
      <w:tblStyleColBandSize w:val="1"/>
      <w:tblCellMar>
        <w:top w:w="41.0" w:type="dxa"/>
        <w:left w:w="107.0" w:type="dxa"/>
        <w:bottom w:w="0.0" w:type="dxa"/>
        <w:right w:w="73.0" w:type="dxa"/>
      </w:tblCellMar>
    </w:tblPr>
  </w:style>
  <w:style w:type="table" w:styleId="a1" w:customStyle="1">
    <w:basedOn w:val="TableNormal6"/>
    <w:tblPr>
      <w:tblStyleRowBandSize w:val="1"/>
      <w:tblStyleColBandSize w:val="1"/>
      <w:tblCellMar>
        <w:top w:w="41.0" w:type="dxa"/>
        <w:left w:w="0.0" w:type="dxa"/>
        <w:bottom w:w="0.0" w:type="dxa"/>
        <w:right w:w="60.0" w:type="dxa"/>
      </w:tblCellMar>
    </w:tblPr>
  </w:style>
  <w:style w:type="table" w:styleId="a2" w:customStyle="1">
    <w:basedOn w:val="TableNormal6"/>
    <w:tblPr>
      <w:tblStyleRowBandSize w:val="1"/>
      <w:tblStyleColBandSize w:val="1"/>
      <w:tblCellMar>
        <w:top w:w="41.0" w:type="dxa"/>
        <w:left w:w="0.0" w:type="dxa"/>
        <w:bottom w:w="0.0" w:type="dxa"/>
        <w:right w:w="62.0" w:type="dxa"/>
      </w:tblCellMar>
    </w:tblPr>
  </w:style>
  <w:style w:type="table" w:styleId="a3" w:customStyle="1">
    <w:basedOn w:val="TableNormal6"/>
    <w:tblPr>
      <w:tblStyleRowBandSize w:val="1"/>
      <w:tblStyleColBandSize w:val="1"/>
      <w:tblCellMar>
        <w:top w:w="41.0" w:type="dxa"/>
        <w:left w:w="107.0" w:type="dxa"/>
        <w:bottom w:w="0.0" w:type="dxa"/>
        <w:right w:w="70.0" w:type="dxa"/>
      </w:tblCellMar>
    </w:tblPr>
  </w:style>
  <w:style w:type="table" w:styleId="a4" w:customStyle="1">
    <w:basedOn w:val="TableNormal6"/>
    <w:tblPr>
      <w:tblStyleRowBandSize w:val="1"/>
      <w:tblStyleColBandSize w:val="1"/>
      <w:tblCellMar>
        <w:top w:w="40.0" w:type="dxa"/>
        <w:left w:w="0.0" w:type="dxa"/>
        <w:bottom w:w="0.0" w:type="dxa"/>
        <w:right w:w="26.0" w:type="dxa"/>
      </w:tblCellMar>
    </w:tblPr>
  </w:style>
  <w:style w:type="table" w:styleId="a5" w:customStyle="1">
    <w:basedOn w:val="TableNormal6"/>
    <w:tblPr>
      <w:tblStyleRowBandSize w:val="1"/>
      <w:tblStyleColBandSize w:val="1"/>
      <w:tblCellMar>
        <w:top w:w="41.0" w:type="dxa"/>
        <w:left w:w="107.0" w:type="dxa"/>
        <w:bottom w:w="0.0" w:type="dxa"/>
        <w:right w:w="71.0" w:type="dxa"/>
      </w:tblCellMar>
    </w:tblPr>
  </w:style>
  <w:style w:type="table" w:styleId="a6" w:customStyle="1">
    <w:basedOn w:val="TableNormal6"/>
    <w:tblPr>
      <w:tblStyleRowBandSize w:val="1"/>
      <w:tblStyleColBandSize w:val="1"/>
      <w:tblCellMar>
        <w:top w:w="40.0" w:type="dxa"/>
        <w:left w:w="0.0" w:type="dxa"/>
        <w:bottom w:w="0.0" w:type="dxa"/>
        <w:right w:w="12.0" w:type="dxa"/>
      </w:tblCellMar>
    </w:tblPr>
  </w:style>
  <w:style w:type="table" w:styleId="a7" w:customStyle="1">
    <w:basedOn w:val="TableNormal6"/>
    <w:tblPr>
      <w:tblStyleRowBandSize w:val="1"/>
      <w:tblStyleColBandSize w:val="1"/>
      <w:tblCellMar>
        <w:top w:w="41.0" w:type="dxa"/>
        <w:left w:w="107.0" w:type="dxa"/>
        <w:bottom w:w="0.0" w:type="dxa"/>
        <w:right w:w="69.0" w:type="dxa"/>
      </w:tblCellMar>
    </w:tblPr>
  </w:style>
  <w:style w:type="table" w:styleId="a8" w:customStyle="1">
    <w:basedOn w:val="TableNormal6"/>
    <w:tblPr>
      <w:tblStyleRowBandSize w:val="1"/>
      <w:tblStyleColBandSize w:val="1"/>
      <w:tblCellMar>
        <w:top w:w="41.0" w:type="dxa"/>
        <w:left w:w="107.0" w:type="dxa"/>
        <w:bottom w:w="0.0" w:type="dxa"/>
        <w:right w:w="70.0" w:type="dxa"/>
      </w:tblCellMar>
    </w:tblPr>
  </w:style>
  <w:style w:type="table" w:styleId="a9" w:customStyle="1">
    <w:basedOn w:val="TableNormal6"/>
    <w:tblPr>
      <w:tblStyleRowBandSize w:val="1"/>
      <w:tblStyleColBandSize w:val="1"/>
      <w:tblCellMar>
        <w:top w:w="41.0" w:type="dxa"/>
        <w:left w:w="107.0" w:type="dxa"/>
        <w:bottom w:w="0.0" w:type="dxa"/>
        <w:right w:w="67.0" w:type="dxa"/>
      </w:tblCellMar>
    </w:tblPr>
  </w:style>
  <w:style w:type="table" w:styleId="aa" w:customStyle="1">
    <w:basedOn w:val="TableNormal6"/>
    <w:tblPr>
      <w:tblStyleRowBandSize w:val="1"/>
      <w:tblStyleColBandSize w:val="1"/>
      <w:tblCellMar>
        <w:top w:w="41.0" w:type="dxa"/>
        <w:left w:w="107.0" w:type="dxa"/>
        <w:bottom w:w="0.0" w:type="dxa"/>
        <w:right w:w="70.0" w:type="dxa"/>
      </w:tblCellMar>
    </w:tblPr>
  </w:style>
  <w:style w:type="table" w:styleId="ab" w:customStyle="1">
    <w:basedOn w:val="TableNormal6"/>
    <w:tblPr>
      <w:tblStyleRowBandSize w:val="1"/>
      <w:tblStyleColBandSize w:val="1"/>
      <w:tblCellMar>
        <w:top w:w="41.0" w:type="dxa"/>
        <w:left w:w="107.0" w:type="dxa"/>
        <w:bottom w:w="0.0" w:type="dxa"/>
        <w:right w:w="71.0" w:type="dxa"/>
      </w:tblCellMar>
    </w:tblPr>
  </w:style>
  <w:style w:type="table" w:styleId="ac" w:customStyle="1">
    <w:basedOn w:val="TableNormal6"/>
    <w:tblPr>
      <w:tblStyleRowBandSize w:val="1"/>
      <w:tblStyleColBandSize w:val="1"/>
      <w:tblCellMar>
        <w:top w:w="41.0" w:type="dxa"/>
        <w:left w:w="827.0" w:type="dxa"/>
        <w:bottom w:w="0.0" w:type="dxa"/>
        <w:right w:w="115.0" w:type="dxa"/>
      </w:tblCellMar>
    </w:tblPr>
  </w:style>
  <w:style w:type="table" w:styleId="ad" w:customStyle="1">
    <w:basedOn w:val="TableNormal6"/>
    <w:tblPr>
      <w:tblStyleRowBandSize w:val="1"/>
      <w:tblStyleColBandSize w:val="1"/>
      <w:tblCellMar>
        <w:top w:w="41.0" w:type="dxa"/>
        <w:left w:w="827.0" w:type="dxa"/>
        <w:bottom w:w="0.0" w:type="dxa"/>
        <w:right w:w="115.0" w:type="dxa"/>
      </w:tblCellMar>
    </w:tblPr>
  </w:style>
  <w:style w:type="table" w:styleId="ae" w:customStyle="1">
    <w:basedOn w:val="TableNormal6"/>
    <w:tblPr>
      <w:tblStyleRowBandSize w:val="1"/>
      <w:tblStyleColBandSize w:val="1"/>
      <w:tblCellMar>
        <w:top w:w="41.0" w:type="dxa"/>
        <w:left w:w="827.0" w:type="dxa"/>
        <w:bottom w:w="0.0" w:type="dxa"/>
        <w:right w:w="115.0" w:type="dxa"/>
      </w:tblCellMar>
    </w:tblPr>
  </w:style>
  <w:style w:type="table" w:styleId="af" w:customStyle="1">
    <w:basedOn w:val="TableNormal6"/>
    <w:tblPr>
      <w:tblStyleRowBandSize w:val="1"/>
      <w:tblStyleColBandSize w:val="1"/>
      <w:tblCellMar>
        <w:top w:w="41.0" w:type="dxa"/>
        <w:left w:w="827.0" w:type="dxa"/>
        <w:bottom w:w="0.0" w:type="dxa"/>
        <w:right w:w="115.0" w:type="dxa"/>
      </w:tblCellMar>
    </w:tblPr>
  </w:style>
  <w:style w:type="table" w:styleId="af0" w:customStyle="1">
    <w:basedOn w:val="TableNormal6"/>
    <w:tblPr>
      <w:tblStyleRowBandSize w:val="1"/>
      <w:tblStyleColBandSize w:val="1"/>
      <w:tblCellMar>
        <w:top w:w="41.0" w:type="dxa"/>
        <w:left w:w="827.0" w:type="dxa"/>
        <w:bottom w:w="0.0" w:type="dxa"/>
        <w:right w:w="115.0" w:type="dxa"/>
      </w:tblCellMar>
    </w:tblPr>
  </w:style>
  <w:style w:type="table" w:styleId="af1" w:customStyle="1">
    <w:basedOn w:val="TableNormal6"/>
    <w:tblPr>
      <w:tblStyleRowBandSize w:val="1"/>
      <w:tblStyleColBandSize w:val="1"/>
      <w:tblCellMar>
        <w:top w:w="41.0" w:type="dxa"/>
        <w:left w:w="827.0" w:type="dxa"/>
        <w:bottom w:w="0.0" w:type="dxa"/>
        <w:right w:w="115.0" w:type="dxa"/>
      </w:tblCellMar>
    </w:tblPr>
  </w:style>
  <w:style w:type="table" w:styleId="af2" w:customStyle="1">
    <w:basedOn w:val="TableNormal6"/>
    <w:tblPr>
      <w:tblStyleRowBandSize w:val="1"/>
      <w:tblStyleColBandSize w:val="1"/>
      <w:tblCellMar>
        <w:top w:w="41.0" w:type="dxa"/>
        <w:left w:w="827.0" w:type="dxa"/>
        <w:bottom w:w="0.0" w:type="dxa"/>
        <w:right w:w="115.0" w:type="dxa"/>
      </w:tblCellMar>
    </w:tblPr>
  </w:style>
  <w:style w:type="table" w:styleId="af3" w:customStyle="1">
    <w:basedOn w:val="TableNormal6"/>
    <w:tblPr>
      <w:tblStyleRowBandSize w:val="1"/>
      <w:tblStyleColBandSize w:val="1"/>
      <w:tblCellMar>
        <w:top w:w="41.0" w:type="dxa"/>
        <w:left w:w="827.0" w:type="dxa"/>
        <w:bottom w:w="0.0" w:type="dxa"/>
        <w:right w:w="115.0" w:type="dxa"/>
      </w:tblCellMar>
    </w:tblPr>
  </w:style>
  <w:style w:type="table" w:styleId="af4" w:customStyle="1">
    <w:basedOn w:val="TableNormal6"/>
    <w:tblPr>
      <w:tblStyleRowBandSize w:val="1"/>
      <w:tblStyleColBandSize w:val="1"/>
      <w:tblCellMar>
        <w:top w:w="41.0" w:type="dxa"/>
        <w:left w:w="827.0" w:type="dxa"/>
        <w:bottom w:w="0.0" w:type="dxa"/>
        <w:right w:w="115.0" w:type="dxa"/>
      </w:tblCellMar>
    </w:tblPr>
  </w:style>
  <w:style w:type="table" w:styleId="af5" w:customStyle="1">
    <w:basedOn w:val="TableNormal6"/>
    <w:tblPr>
      <w:tblStyleRowBandSize w:val="1"/>
      <w:tblStyleColBandSize w:val="1"/>
      <w:tblCellMar>
        <w:top w:w="41.0" w:type="dxa"/>
        <w:left w:w="827.0" w:type="dxa"/>
        <w:bottom w:w="0.0" w:type="dxa"/>
        <w:right w:w="115.0" w:type="dxa"/>
      </w:tblCellMar>
    </w:tblPr>
  </w:style>
  <w:style w:type="table" w:styleId="af6" w:customStyle="1">
    <w:basedOn w:val="TableNormal6"/>
    <w:tblPr>
      <w:tblStyleRowBandSize w:val="1"/>
      <w:tblStyleColBandSize w:val="1"/>
      <w:tblCellMar>
        <w:top w:w="41.0" w:type="dxa"/>
        <w:left w:w="827.0" w:type="dxa"/>
        <w:bottom w:w="0.0" w:type="dxa"/>
        <w:right w:w="115.0" w:type="dxa"/>
      </w:tblCellMar>
    </w:tblPr>
  </w:style>
  <w:style w:type="table" w:styleId="af7" w:customStyle="1">
    <w:basedOn w:val="TableNormal6"/>
    <w:tblPr>
      <w:tblStyleRowBandSize w:val="1"/>
      <w:tblStyleColBandSize w:val="1"/>
      <w:tblCellMar>
        <w:top w:w="41.0" w:type="dxa"/>
        <w:left w:w="827.0" w:type="dxa"/>
        <w:bottom w:w="0.0" w:type="dxa"/>
        <w:right w:w="115.0" w:type="dxa"/>
      </w:tblCellMar>
    </w:tblPr>
  </w:style>
  <w:style w:type="table" w:styleId="af8" w:customStyle="1">
    <w:basedOn w:val="TableNormal6"/>
    <w:tblPr>
      <w:tblStyleRowBandSize w:val="1"/>
      <w:tblStyleColBandSize w:val="1"/>
      <w:tblCellMar>
        <w:top w:w="41.0" w:type="dxa"/>
        <w:left w:w="827.0" w:type="dxa"/>
        <w:bottom w:w="0.0" w:type="dxa"/>
        <w:right w:w="115.0" w:type="dxa"/>
      </w:tblCellMar>
    </w:tblPr>
  </w:style>
  <w:style w:type="table" w:styleId="af9" w:customStyle="1">
    <w:basedOn w:val="TableNormal6"/>
    <w:tblPr>
      <w:tblStyleRowBandSize w:val="1"/>
      <w:tblStyleColBandSize w:val="1"/>
      <w:tblCellMar>
        <w:top w:w="41.0" w:type="dxa"/>
        <w:left w:w="827.0" w:type="dxa"/>
        <w:bottom w:w="0.0" w:type="dxa"/>
        <w:right w:w="115.0" w:type="dxa"/>
      </w:tblCellMar>
    </w:tblPr>
  </w:style>
  <w:style w:type="table" w:styleId="afa" w:customStyle="1">
    <w:basedOn w:val="TableNormal6"/>
    <w:tblPr>
      <w:tblStyleRowBandSize w:val="1"/>
      <w:tblStyleColBandSize w:val="1"/>
      <w:tblCellMar>
        <w:top w:w="41.0" w:type="dxa"/>
        <w:left w:w="827.0" w:type="dxa"/>
        <w:bottom w:w="0.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5"/>
    <w:tblPr>
      <w:tblStyleRowBandSize w:val="1"/>
      <w:tblStyleColBandSize w:val="1"/>
      <w:tblCellMar>
        <w:top w:w="41.0" w:type="dxa"/>
        <w:left w:w="827.0" w:type="dxa"/>
        <w:bottom w:w="0.0" w:type="dxa"/>
        <w:right w:w="115.0" w:type="dxa"/>
      </w:tblCellMar>
    </w:tblPr>
  </w:style>
  <w:style w:type="table" w:styleId="afc" w:customStyle="1">
    <w:basedOn w:val="TableNormal5"/>
    <w:tblPr>
      <w:tblStyleRowBandSize w:val="1"/>
      <w:tblStyleColBandSize w:val="1"/>
      <w:tblCellMar>
        <w:top w:w="41.0" w:type="dxa"/>
        <w:left w:w="827.0" w:type="dxa"/>
        <w:bottom w:w="0.0" w:type="dxa"/>
        <w:right w:w="115.0" w:type="dxa"/>
      </w:tblCellMar>
    </w:tblPr>
  </w:style>
  <w:style w:type="table" w:styleId="afd" w:customStyle="1">
    <w:basedOn w:val="TableNormal5"/>
    <w:tblPr>
      <w:tblStyleRowBandSize w:val="1"/>
      <w:tblStyleColBandSize w:val="1"/>
      <w:tblCellMar>
        <w:top w:w="41.0" w:type="dxa"/>
        <w:left w:w="827.0" w:type="dxa"/>
        <w:bottom w:w="0.0" w:type="dxa"/>
        <w:right w:w="115.0" w:type="dxa"/>
      </w:tblCellMar>
    </w:tblPr>
  </w:style>
  <w:style w:type="table" w:styleId="afe" w:customStyle="1">
    <w:basedOn w:val="TableNormal5"/>
    <w:tblPr>
      <w:tblStyleRowBandSize w:val="1"/>
      <w:tblStyleColBandSize w:val="1"/>
      <w:tblCellMar>
        <w:top w:w="41.0" w:type="dxa"/>
        <w:left w:w="827.0" w:type="dxa"/>
        <w:bottom w:w="0.0" w:type="dxa"/>
        <w:right w:w="115.0" w:type="dxa"/>
      </w:tblCellMar>
    </w:tblPr>
  </w:style>
  <w:style w:type="table" w:styleId="aff" w:customStyle="1">
    <w:basedOn w:val="TableNormal5"/>
    <w:tblPr>
      <w:tblStyleRowBandSize w:val="1"/>
      <w:tblStyleColBandSize w:val="1"/>
      <w:tblCellMar>
        <w:top w:w="41.0" w:type="dxa"/>
        <w:left w:w="827.0" w:type="dxa"/>
        <w:bottom w:w="0.0" w:type="dxa"/>
        <w:right w:w="115.0" w:type="dxa"/>
      </w:tblCellMar>
    </w:tblPr>
  </w:style>
  <w:style w:type="table" w:styleId="aff0" w:customStyle="1">
    <w:basedOn w:val="TableNormal5"/>
    <w:tblPr>
      <w:tblStyleRowBandSize w:val="1"/>
      <w:tblStyleColBandSize w:val="1"/>
      <w:tblCellMar>
        <w:top w:w="41.0" w:type="dxa"/>
        <w:left w:w="827.0" w:type="dxa"/>
        <w:bottom w:w="0.0" w:type="dxa"/>
        <w:right w:w="115.0" w:type="dxa"/>
      </w:tblCellMar>
    </w:tblPr>
  </w:style>
  <w:style w:type="table" w:styleId="aff1" w:customStyle="1">
    <w:basedOn w:val="TableNormal5"/>
    <w:tblPr>
      <w:tblStyleRowBandSize w:val="1"/>
      <w:tblStyleColBandSize w:val="1"/>
      <w:tblCellMar>
        <w:top w:w="41.0" w:type="dxa"/>
        <w:left w:w="827.0" w:type="dxa"/>
        <w:bottom w:w="0.0" w:type="dxa"/>
        <w:right w:w="115.0" w:type="dxa"/>
      </w:tblCellMar>
    </w:tblPr>
  </w:style>
  <w:style w:type="table" w:styleId="aff2" w:customStyle="1">
    <w:basedOn w:val="TableNormal5"/>
    <w:tblPr>
      <w:tblStyleRowBandSize w:val="1"/>
      <w:tblStyleColBandSize w:val="1"/>
      <w:tblCellMar>
        <w:top w:w="41.0" w:type="dxa"/>
        <w:left w:w="827.0" w:type="dxa"/>
        <w:bottom w:w="0.0" w:type="dxa"/>
        <w:right w:w="115.0" w:type="dxa"/>
      </w:tblCellMar>
    </w:tblPr>
  </w:style>
  <w:style w:type="table" w:styleId="aff3" w:customStyle="1">
    <w:basedOn w:val="TableNormal5"/>
    <w:tblPr>
      <w:tblStyleRowBandSize w:val="1"/>
      <w:tblStyleColBandSize w:val="1"/>
      <w:tblCellMar>
        <w:top w:w="41.0" w:type="dxa"/>
        <w:left w:w="827.0" w:type="dxa"/>
        <w:bottom w:w="0.0" w:type="dxa"/>
        <w:right w:w="115.0" w:type="dxa"/>
      </w:tblCellMar>
    </w:tblPr>
  </w:style>
  <w:style w:type="table" w:styleId="aff4" w:customStyle="1">
    <w:basedOn w:val="TableNormal5"/>
    <w:tblPr>
      <w:tblStyleRowBandSize w:val="1"/>
      <w:tblStyleColBandSize w:val="1"/>
      <w:tblCellMar>
        <w:top w:w="41.0" w:type="dxa"/>
        <w:left w:w="827.0" w:type="dxa"/>
        <w:bottom w:w="0.0" w:type="dxa"/>
        <w:right w:w="115.0" w:type="dxa"/>
      </w:tblCellMar>
    </w:tblPr>
  </w:style>
  <w:style w:type="table" w:styleId="aff5" w:customStyle="1">
    <w:basedOn w:val="TableNormal5"/>
    <w:tblPr>
      <w:tblStyleRowBandSize w:val="1"/>
      <w:tblStyleColBandSize w:val="1"/>
      <w:tblCellMar>
        <w:top w:w="41.0" w:type="dxa"/>
        <w:left w:w="827.0" w:type="dxa"/>
        <w:bottom w:w="0.0" w:type="dxa"/>
        <w:right w:w="115.0" w:type="dxa"/>
      </w:tblCellMar>
    </w:tblPr>
  </w:style>
  <w:style w:type="table" w:styleId="aff6" w:customStyle="1">
    <w:basedOn w:val="TableNormal5"/>
    <w:tblPr>
      <w:tblStyleRowBandSize w:val="1"/>
      <w:tblStyleColBandSize w:val="1"/>
      <w:tblCellMar>
        <w:top w:w="41.0" w:type="dxa"/>
        <w:left w:w="827.0" w:type="dxa"/>
        <w:bottom w:w="0.0" w:type="dxa"/>
        <w:right w:w="115.0" w:type="dxa"/>
      </w:tblCellMar>
    </w:tblPr>
  </w:style>
  <w:style w:type="table" w:styleId="aff7" w:customStyle="1">
    <w:basedOn w:val="TableNormal5"/>
    <w:tblPr>
      <w:tblStyleRowBandSize w:val="1"/>
      <w:tblStyleColBandSize w:val="1"/>
      <w:tblCellMar>
        <w:top w:w="41.0" w:type="dxa"/>
        <w:left w:w="827.0" w:type="dxa"/>
        <w:bottom w:w="0.0" w:type="dxa"/>
        <w:right w:w="115.0" w:type="dxa"/>
      </w:tblCellMar>
    </w:tblPr>
  </w:style>
  <w:style w:type="table" w:styleId="aff8" w:customStyle="1">
    <w:basedOn w:val="TableNormal5"/>
    <w:tblPr>
      <w:tblStyleRowBandSize w:val="1"/>
      <w:tblStyleColBandSize w:val="1"/>
      <w:tblCellMar>
        <w:top w:w="41.0" w:type="dxa"/>
        <w:left w:w="827.0" w:type="dxa"/>
        <w:bottom w:w="0.0" w:type="dxa"/>
        <w:right w:w="115.0" w:type="dxa"/>
      </w:tblCellMar>
    </w:tblPr>
  </w:style>
  <w:style w:type="table" w:styleId="aff9" w:customStyle="1">
    <w:basedOn w:val="TableNormal5"/>
    <w:tblPr>
      <w:tblStyleRowBandSize w:val="1"/>
      <w:tblStyleColBandSize w:val="1"/>
      <w:tblCellMar>
        <w:top w:w="41.0" w:type="dxa"/>
        <w:left w:w="827.0" w:type="dxa"/>
        <w:bottom w:w="0.0" w:type="dxa"/>
        <w:right w:w="115.0" w:type="dxa"/>
      </w:tblCellMar>
    </w:tblPr>
  </w:style>
  <w:style w:type="table" w:styleId="affa" w:customStyle="1">
    <w:basedOn w:val="TableNormal5"/>
    <w:tblPr>
      <w:tblStyleRowBandSize w:val="1"/>
      <w:tblStyleColBandSize w:val="1"/>
      <w:tblCellMar>
        <w:top w:w="41.0" w:type="dxa"/>
        <w:left w:w="827.0" w:type="dxa"/>
        <w:bottom w:w="0.0" w:type="dxa"/>
        <w:right w:w="115.0" w:type="dxa"/>
      </w:tblCellMar>
    </w:tblPr>
  </w:style>
  <w:style w:type="table" w:styleId="affb" w:customStyle="1">
    <w:basedOn w:val="TableNormal5"/>
    <w:tblPr>
      <w:tblStyleRowBandSize w:val="1"/>
      <w:tblStyleColBandSize w:val="1"/>
      <w:tblCellMar>
        <w:top w:w="41.0" w:type="dxa"/>
        <w:left w:w="827.0" w:type="dxa"/>
        <w:bottom w:w="0.0" w:type="dxa"/>
        <w:right w:w="115.0" w:type="dxa"/>
      </w:tblCellMar>
    </w:tblPr>
  </w:style>
  <w:style w:type="table" w:styleId="affc" w:customStyle="1">
    <w:basedOn w:val="TableNormal5"/>
    <w:tblPr>
      <w:tblStyleRowBandSize w:val="1"/>
      <w:tblStyleColBandSize w:val="1"/>
      <w:tblCellMar>
        <w:top w:w="41.0" w:type="dxa"/>
        <w:left w:w="827.0" w:type="dxa"/>
        <w:bottom w:w="0.0" w:type="dxa"/>
        <w:right w:w="115.0" w:type="dxa"/>
      </w:tblCellMar>
    </w:tblPr>
  </w:style>
  <w:style w:type="table" w:styleId="affd" w:customStyle="1">
    <w:basedOn w:val="TableNormal5"/>
    <w:tblPr>
      <w:tblStyleRowBandSize w:val="1"/>
      <w:tblStyleColBandSize w:val="1"/>
      <w:tblCellMar>
        <w:top w:w="41.0" w:type="dxa"/>
        <w:left w:w="827.0" w:type="dxa"/>
        <w:bottom w:w="0.0" w:type="dxa"/>
        <w:right w:w="115.0" w:type="dxa"/>
      </w:tblCellMar>
    </w:tblPr>
  </w:style>
  <w:style w:type="table" w:styleId="affe" w:customStyle="1">
    <w:basedOn w:val="TableNormal5"/>
    <w:tblPr>
      <w:tblStyleRowBandSize w:val="1"/>
      <w:tblStyleColBandSize w:val="1"/>
      <w:tblCellMar>
        <w:top w:w="41.0" w:type="dxa"/>
        <w:left w:w="827.0" w:type="dxa"/>
        <w:bottom w:w="0.0" w:type="dxa"/>
        <w:right w:w="115.0" w:type="dxa"/>
      </w:tblCellMar>
    </w:tblPr>
  </w:style>
  <w:style w:type="table" w:styleId="afff" w:customStyle="1">
    <w:basedOn w:val="TableNormal5"/>
    <w:tblPr>
      <w:tblStyleRowBandSize w:val="1"/>
      <w:tblStyleColBandSize w:val="1"/>
      <w:tblCellMar>
        <w:top w:w="41.0" w:type="dxa"/>
        <w:left w:w="827.0" w:type="dxa"/>
        <w:bottom w:w="0.0" w:type="dxa"/>
        <w:right w:w="115.0" w:type="dxa"/>
      </w:tblCellMar>
    </w:tblPr>
  </w:style>
  <w:style w:type="table" w:styleId="afff0" w:customStyle="1">
    <w:basedOn w:val="TableNormal5"/>
    <w:tblPr>
      <w:tblStyleRowBandSize w:val="1"/>
      <w:tblStyleColBandSize w:val="1"/>
      <w:tblCellMar>
        <w:top w:w="41.0" w:type="dxa"/>
        <w:left w:w="827.0" w:type="dxa"/>
        <w:bottom w:w="0.0" w:type="dxa"/>
        <w:right w:w="115.0" w:type="dxa"/>
      </w:tblCellMar>
    </w:tblPr>
  </w:style>
  <w:style w:type="table" w:styleId="afff1" w:customStyle="1">
    <w:basedOn w:val="TableNormal5"/>
    <w:tblPr>
      <w:tblStyleRowBandSize w:val="1"/>
      <w:tblStyleColBandSize w:val="1"/>
      <w:tblCellMar>
        <w:top w:w="41.0" w:type="dxa"/>
        <w:left w:w="827.0" w:type="dxa"/>
        <w:bottom w:w="0.0" w:type="dxa"/>
        <w:right w:w="115.0" w:type="dxa"/>
      </w:tblCellMar>
    </w:tblPr>
  </w:style>
  <w:style w:type="table" w:styleId="afff2" w:customStyle="1">
    <w:basedOn w:val="TableNormal5"/>
    <w:tblPr>
      <w:tblStyleRowBandSize w:val="1"/>
      <w:tblStyleColBandSize w:val="1"/>
      <w:tblCellMar>
        <w:top w:w="41.0" w:type="dxa"/>
        <w:left w:w="827.0" w:type="dxa"/>
        <w:bottom w:w="0.0" w:type="dxa"/>
        <w:right w:w="115.0" w:type="dxa"/>
      </w:tblCellMar>
    </w:tblPr>
  </w:style>
  <w:style w:type="table" w:styleId="afff3" w:customStyle="1">
    <w:basedOn w:val="TableNormal5"/>
    <w:tblPr>
      <w:tblStyleRowBandSize w:val="1"/>
      <w:tblStyleColBandSize w:val="1"/>
      <w:tblCellMar>
        <w:top w:w="41.0" w:type="dxa"/>
        <w:left w:w="827.0" w:type="dxa"/>
        <w:bottom w:w="0.0" w:type="dxa"/>
        <w:right w:w="115.0" w:type="dxa"/>
      </w:tblCellMar>
    </w:tblPr>
  </w:style>
  <w:style w:type="table" w:styleId="afff4" w:customStyle="1">
    <w:basedOn w:val="TableNormal5"/>
    <w:tblPr>
      <w:tblStyleRowBandSize w:val="1"/>
      <w:tblStyleColBandSize w:val="1"/>
      <w:tblCellMar>
        <w:top w:w="41.0" w:type="dxa"/>
        <w:left w:w="827.0" w:type="dxa"/>
        <w:bottom w:w="0.0" w:type="dxa"/>
        <w:right w:w="115.0" w:type="dxa"/>
      </w:tblCellMar>
    </w:tblPr>
  </w:style>
  <w:style w:type="table" w:styleId="afff5" w:customStyle="1">
    <w:basedOn w:val="TableNormal5"/>
    <w:tblPr>
      <w:tblStyleRowBandSize w:val="1"/>
      <w:tblStyleColBandSize w:val="1"/>
      <w:tblCellMar>
        <w:top w:w="41.0" w:type="dxa"/>
        <w:left w:w="827.0" w:type="dxa"/>
        <w:bottom w:w="0.0" w:type="dxa"/>
        <w:right w:w="115.0" w:type="dxa"/>
      </w:tblCellMar>
    </w:tblPr>
  </w:style>
  <w:style w:type="table" w:styleId="afff6" w:customStyle="1">
    <w:basedOn w:val="TableNormal5"/>
    <w:tblPr>
      <w:tblStyleRowBandSize w:val="1"/>
      <w:tblStyleColBandSize w:val="1"/>
      <w:tblCellMar>
        <w:top w:w="41.0" w:type="dxa"/>
        <w:left w:w="827.0" w:type="dxa"/>
        <w:bottom w:w="0.0" w:type="dxa"/>
        <w:right w:w="115.0" w:type="dxa"/>
      </w:tblCellMar>
    </w:tblPr>
  </w:style>
  <w:style w:type="table" w:styleId="afff7" w:customStyle="1">
    <w:basedOn w:val="TableNormal3"/>
    <w:tblPr>
      <w:tblStyleRowBandSize w:val="1"/>
      <w:tblStyleColBandSize w:val="1"/>
      <w:tblCellMar>
        <w:top w:w="41.0" w:type="dxa"/>
        <w:left w:w="827.0" w:type="dxa"/>
        <w:bottom w:w="0.0" w:type="dxa"/>
        <w:right w:w="115.0" w:type="dxa"/>
      </w:tblCellMar>
    </w:tblPr>
  </w:style>
  <w:style w:type="table" w:styleId="afff8" w:customStyle="1">
    <w:basedOn w:val="TableNormal3"/>
    <w:tblPr>
      <w:tblStyleRowBandSize w:val="1"/>
      <w:tblStyleColBandSize w:val="1"/>
      <w:tblCellMar>
        <w:top w:w="41.0" w:type="dxa"/>
        <w:left w:w="827.0" w:type="dxa"/>
        <w:bottom w:w="0.0" w:type="dxa"/>
        <w:right w:w="115.0" w:type="dxa"/>
      </w:tblCellMar>
    </w:tblPr>
  </w:style>
  <w:style w:type="table" w:styleId="afff9" w:customStyle="1">
    <w:basedOn w:val="TableNormal3"/>
    <w:tblPr>
      <w:tblStyleRowBandSize w:val="1"/>
      <w:tblStyleColBandSize w:val="1"/>
      <w:tblCellMar>
        <w:top w:w="41.0" w:type="dxa"/>
        <w:left w:w="827.0" w:type="dxa"/>
        <w:bottom w:w="0.0" w:type="dxa"/>
        <w:right w:w="115.0" w:type="dxa"/>
      </w:tblCellMar>
    </w:tblPr>
  </w:style>
  <w:style w:type="table" w:styleId="afffa" w:customStyle="1">
    <w:basedOn w:val="TableNormal3"/>
    <w:tblPr>
      <w:tblStyleRowBandSize w:val="1"/>
      <w:tblStyleColBandSize w:val="1"/>
      <w:tblCellMar>
        <w:top w:w="41.0" w:type="dxa"/>
        <w:left w:w="827.0" w:type="dxa"/>
        <w:bottom w:w="0.0" w:type="dxa"/>
        <w:right w:w="115.0" w:type="dxa"/>
      </w:tblCellMar>
    </w:tblPr>
  </w:style>
  <w:style w:type="table" w:styleId="afffb" w:customStyle="1">
    <w:basedOn w:val="TableNormal3"/>
    <w:tblPr>
      <w:tblStyleRowBandSize w:val="1"/>
      <w:tblStyleColBandSize w:val="1"/>
      <w:tblCellMar>
        <w:top w:w="41.0" w:type="dxa"/>
        <w:left w:w="827.0" w:type="dxa"/>
        <w:bottom w:w="0.0" w:type="dxa"/>
        <w:right w:w="115.0" w:type="dxa"/>
      </w:tblCellMar>
    </w:tblPr>
  </w:style>
  <w:style w:type="table" w:styleId="afffc" w:customStyle="1">
    <w:basedOn w:val="TableNormal3"/>
    <w:tblPr>
      <w:tblStyleRowBandSize w:val="1"/>
      <w:tblStyleColBandSize w:val="1"/>
      <w:tblCellMar>
        <w:top w:w="41.0" w:type="dxa"/>
        <w:left w:w="827.0" w:type="dxa"/>
        <w:bottom w:w="0.0" w:type="dxa"/>
        <w:right w:w="115.0" w:type="dxa"/>
      </w:tblCellMar>
    </w:tblPr>
  </w:style>
  <w:style w:type="table" w:styleId="afffd" w:customStyle="1">
    <w:basedOn w:val="TableNormal3"/>
    <w:tblPr>
      <w:tblStyleRowBandSize w:val="1"/>
      <w:tblStyleColBandSize w:val="1"/>
      <w:tblCellMar>
        <w:top w:w="41.0" w:type="dxa"/>
        <w:left w:w="827.0" w:type="dxa"/>
        <w:bottom w:w="0.0" w:type="dxa"/>
        <w:right w:w="115.0" w:type="dxa"/>
      </w:tblCellMar>
    </w:tblPr>
  </w:style>
  <w:style w:type="table" w:styleId="afffe" w:customStyle="1">
    <w:basedOn w:val="TableNormal3"/>
    <w:tblPr>
      <w:tblStyleRowBandSize w:val="1"/>
      <w:tblStyleColBandSize w:val="1"/>
      <w:tblCellMar>
        <w:top w:w="41.0" w:type="dxa"/>
        <w:left w:w="827.0" w:type="dxa"/>
        <w:bottom w:w="0.0" w:type="dxa"/>
        <w:right w:w="115.0" w:type="dxa"/>
      </w:tblCellMar>
    </w:tblPr>
  </w:style>
  <w:style w:type="table" w:styleId="affff" w:customStyle="1">
    <w:basedOn w:val="TableNormal3"/>
    <w:tblPr>
      <w:tblStyleRowBandSize w:val="1"/>
      <w:tblStyleColBandSize w:val="1"/>
      <w:tblCellMar>
        <w:top w:w="41.0" w:type="dxa"/>
        <w:left w:w="827.0" w:type="dxa"/>
        <w:bottom w:w="0.0" w:type="dxa"/>
        <w:right w:w="115.0" w:type="dxa"/>
      </w:tblCellMar>
    </w:tblPr>
  </w:style>
  <w:style w:type="table" w:styleId="affff0" w:customStyle="1">
    <w:basedOn w:val="TableNormal3"/>
    <w:tblPr>
      <w:tblStyleRowBandSize w:val="1"/>
      <w:tblStyleColBandSize w:val="1"/>
      <w:tblCellMar>
        <w:top w:w="41.0" w:type="dxa"/>
        <w:left w:w="827.0" w:type="dxa"/>
        <w:bottom w:w="0.0" w:type="dxa"/>
        <w:right w:w="115.0" w:type="dxa"/>
      </w:tblCellMar>
    </w:tblPr>
  </w:style>
  <w:style w:type="table" w:styleId="affff1" w:customStyle="1">
    <w:basedOn w:val="TableNormal3"/>
    <w:tblPr>
      <w:tblStyleRowBandSize w:val="1"/>
      <w:tblStyleColBandSize w:val="1"/>
      <w:tblCellMar>
        <w:top w:w="41.0" w:type="dxa"/>
        <w:left w:w="827.0" w:type="dxa"/>
        <w:bottom w:w="0.0" w:type="dxa"/>
        <w:right w:w="115.0" w:type="dxa"/>
      </w:tblCellMar>
    </w:tblPr>
  </w:style>
  <w:style w:type="table" w:styleId="affff2" w:customStyle="1">
    <w:basedOn w:val="TableNormal3"/>
    <w:tblPr>
      <w:tblStyleRowBandSize w:val="1"/>
      <w:tblStyleColBandSize w:val="1"/>
      <w:tblCellMar>
        <w:top w:w="41.0" w:type="dxa"/>
        <w:left w:w="827.0" w:type="dxa"/>
        <w:bottom w:w="0.0" w:type="dxa"/>
        <w:right w:w="115.0" w:type="dxa"/>
      </w:tblCellMar>
    </w:tblPr>
  </w:style>
  <w:style w:type="table" w:styleId="affff3" w:customStyle="1">
    <w:basedOn w:val="TableNormal3"/>
    <w:tblPr>
      <w:tblStyleRowBandSize w:val="1"/>
      <w:tblStyleColBandSize w:val="1"/>
      <w:tblCellMar>
        <w:top w:w="41.0" w:type="dxa"/>
        <w:left w:w="827.0" w:type="dxa"/>
        <w:bottom w:w="0.0" w:type="dxa"/>
        <w:right w:w="115.0" w:type="dxa"/>
      </w:tblCellMar>
    </w:tblPr>
  </w:style>
  <w:style w:type="table" w:styleId="affff4" w:customStyle="1">
    <w:basedOn w:val="TableNormal3"/>
    <w:tblPr>
      <w:tblStyleRowBandSize w:val="1"/>
      <w:tblStyleColBandSize w:val="1"/>
      <w:tblCellMar>
        <w:top w:w="41.0" w:type="dxa"/>
        <w:left w:w="827.0" w:type="dxa"/>
        <w:bottom w:w="0.0" w:type="dxa"/>
        <w:right w:w="115.0" w:type="dxa"/>
      </w:tblCellMar>
    </w:tblPr>
  </w:style>
  <w:style w:type="paragraph" w:styleId="NormalWeb">
    <w:name w:val="Normal (Web)"/>
    <w:basedOn w:val="Normal"/>
    <w:uiPriority w:val="99"/>
    <w:unhideWhenUsed w:val="1"/>
    <w:rsid w:val="00195077"/>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drive.google.com/drive/folders/1_ADi8xg2cUZCEm3xBxUAlvw3AJd2pTzw"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ArialBlack-regular.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AbwMFq+f+8zVVXZHqmQ3aYqHvg==">CgMxLjAyCWguMzBqMHpsbDIJaC4zMGowemxsMgloLjFmb2I5dGU4AHIhMWMxVU5BZGlUZ1IzU24zcVRsM0RodHFVZ29tYmw1YUxJ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2023-07-10T20:15:00Z</dcterms:created>
  <dc:creator>Jonathan Guillermo Munoz Acevedo</dc:creator>
</cp:coreProperties>
</file>