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Arial" w:cs="Arial" w:eastAsia="Arial" w:hAnsi="Arial"/>
        </w:rPr>
      </w:pPr>
      <w:r w:rsidDel="00000000" w:rsidR="00000000" w:rsidRPr="00000000">
        <w:rPr>
          <w:rFonts w:ascii="Palatino Linotype" w:cs="Palatino Linotype" w:eastAsia="Palatino Linotype" w:hAnsi="Palatino Linotype"/>
          <w:b w:val="1"/>
          <w:sz w:val="20"/>
          <w:szCs w:val="20"/>
          <w:rtl w:val="0"/>
        </w:rPr>
        <w:t xml:space="preserve">FICHA TÉCNICA</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1"/>
        <w:tblW w:w="10080.0" w:type="dxa"/>
        <w:jc w:val="left"/>
        <w:tblInd w:w="-645.0" w:type="dxa"/>
        <w:tblLayout w:type="fixed"/>
        <w:tblLook w:val="0400"/>
      </w:tblPr>
      <w:tblGrid>
        <w:gridCol w:w="4905"/>
        <w:gridCol w:w="2925"/>
        <w:gridCol w:w="2250"/>
        <w:tblGridChange w:id="0">
          <w:tblGrid>
            <w:gridCol w:w="4905"/>
            <w:gridCol w:w="2925"/>
            <w:gridCol w:w="2250"/>
          </w:tblGrid>
        </w:tblGridChange>
      </w:tblGrid>
      <w:tr>
        <w:trPr>
          <w:cantSplit w:val="0"/>
          <w:trHeight w:val="496" w:hRule="atLeast"/>
          <w:tblHeader w:val="1"/>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4">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2714492" cy="2226274"/>
                  <wp:effectExtent b="0" l="0" r="0" t="0"/>
                  <wp:docPr id="301" name="image3.png"/>
                  <a:graphic>
                    <a:graphicData uri="http://schemas.openxmlformats.org/drawingml/2006/picture">
                      <pic:pic>
                        <pic:nvPicPr>
                          <pic:cNvPr id="0" name="image3.png"/>
                          <pic:cNvPicPr preferRelativeResize="0"/>
                        </pic:nvPicPr>
                        <pic:blipFill>
                          <a:blip r:embed="rId7"/>
                          <a:srcRect b="32526" l="5400" r="55507" t="10548"/>
                          <a:stretch>
                            <a:fillRect/>
                          </a:stretch>
                        </pic:blipFill>
                        <pic:spPr>
                          <a:xfrm>
                            <a:off x="0" y="0"/>
                            <a:ext cx="2714492" cy="2226274"/>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 la práctica:</w:t>
            </w:r>
          </w:p>
          <w:p w:rsidR="00000000" w:rsidDel="00000000" w:rsidP="00000000" w:rsidRDefault="00000000" w:rsidRPr="00000000" w14:paraId="00000006">
            <w:pPr>
              <w:ind w:right="-1915"/>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            Micrositio de la revista “Yo por la justicia”</w:t>
            </w:r>
            <w:r w:rsidDel="00000000" w:rsidR="00000000" w:rsidRPr="00000000">
              <w:rPr>
                <w:rtl w:val="0"/>
              </w:rPr>
            </w:r>
          </w:p>
        </w:tc>
      </w:tr>
      <w:tr>
        <w:trPr>
          <w:cantSplit w:val="0"/>
          <w:trHeight w:val="64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A">
            <w:pPr>
              <w:tabs>
                <w:tab w:val="left" w:leader="none" w:pos="1006"/>
              </w:tabs>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Tribunal Superior de Justicia del Estado de México</w:t>
            </w:r>
            <w:r w:rsidDel="00000000" w:rsidR="00000000" w:rsidRPr="00000000">
              <w:rPr>
                <w:rtl w:val="0"/>
              </w:rPr>
            </w:r>
          </w:p>
        </w:tc>
      </w:tr>
      <w:tr>
        <w:trPr>
          <w:cantSplit w:val="0"/>
          <w:trHeight w:val="25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E">
            <w:pPr>
              <w:spacing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Coordinación General de Comunicación Socia</w:t>
            </w:r>
            <w:r w:rsidDel="00000000" w:rsidR="00000000" w:rsidRPr="00000000">
              <w:rPr>
                <w:rFonts w:ascii="Arial" w:cs="Arial" w:eastAsia="Arial" w:hAnsi="Arial"/>
                <w:rtl w:val="0"/>
              </w:rPr>
              <w:t xml:space="preserve">l</w:t>
            </w:r>
            <w:r w:rsidDel="00000000" w:rsidR="00000000" w:rsidRPr="00000000">
              <w:rPr>
                <w:rtl w:val="0"/>
              </w:rPr>
            </w:r>
          </w:p>
        </w:tc>
      </w:tr>
      <w:tr>
        <w:trPr>
          <w:cantSplit w:val="0"/>
          <w:trHeight w:val="102.11047363281253"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2">
            <w:pPr>
              <w:jc w:val="center"/>
              <w:rPr>
                <w:rFonts w:ascii="Palatino Linotype" w:cs="Palatino Linotype" w:eastAsia="Palatino Linotype" w:hAnsi="Palatino Linotype"/>
                <w:i w:val="0"/>
                <w:smallCaps w:val="0"/>
                <w:strike w:val="0"/>
                <w:color w:val="000000"/>
                <w:u w:val="none"/>
                <w:shd w:fill="auto" w:val="clear"/>
                <w:vertAlign w:val="baseline"/>
              </w:rPr>
            </w:pPr>
            <w:hyperlink r:id="rId8">
              <w:r w:rsidDel="00000000" w:rsidR="00000000" w:rsidRPr="00000000">
                <w:rPr>
                  <w:rFonts w:ascii="Palatino Linotype" w:cs="Palatino Linotype" w:eastAsia="Palatino Linotype" w:hAnsi="Palatino Linotype"/>
                  <w:color w:val="1155cc"/>
                  <w:u w:val="single"/>
                  <w:rtl w:val="0"/>
                </w:rPr>
                <w:t xml:space="preserve">https://yoporlajusticia.gob.mx/</w:t>
              </w:r>
            </w:hyperlink>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tc>
      </w:tr>
      <w:tr>
        <w:trPr>
          <w:cantSplit w:val="0"/>
          <w:trHeight w:val="52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2017</w:t>
            </w:r>
            <w:r w:rsidDel="00000000" w:rsidR="00000000" w:rsidRPr="00000000">
              <w:rPr>
                <w:rFonts w:ascii="Palatino Linotype" w:cs="Palatino Linotype" w:eastAsia="Palatino Linotype" w:hAnsi="Palatino Linotype"/>
                <w:rtl w:val="0"/>
              </w:rPr>
              <w:t xml:space="preserve"> a la fecha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Estatal</w:t>
            </w:r>
            <w:r w:rsidDel="00000000" w:rsidR="00000000" w:rsidRPr="00000000">
              <w:rPr>
                <w:rtl w:val="0"/>
              </w:rPr>
            </w:r>
          </w:p>
        </w:tc>
      </w:tr>
      <w:tr>
        <w:trPr>
          <w:cantSplit w:val="0"/>
          <w:trHeight w:val="39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rtl w:val="0"/>
              </w:rPr>
              <w:t xml:space="preserve">Estado de México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9</w:t>
            </w:r>
            <w:r w:rsidDel="00000000" w:rsidR="00000000" w:rsidRPr="00000000">
              <w:rPr>
                <w:rFonts w:ascii="Palatino Linotype" w:cs="Palatino Linotype" w:eastAsia="Palatino Linotype" w:hAnsi="Palatino Linotype"/>
                <w:rtl w:val="0"/>
              </w:rPr>
              <w:t xml:space="preserve">6</w:t>
            </w:r>
            <w:r w:rsidDel="00000000" w:rsidR="00000000" w:rsidRPr="00000000">
              <w:rPr>
                <w:rtl w:val="0"/>
              </w:rPr>
            </w:r>
          </w:p>
        </w:tc>
      </w:tr>
    </w:tbl>
    <w:p w:rsidR="00000000" w:rsidDel="00000000" w:rsidP="00000000" w:rsidRDefault="00000000" w:rsidRPr="00000000" w14:paraId="0000001A">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0005.0" w:type="dxa"/>
        <w:jc w:val="left"/>
        <w:tblInd w:w="-572.0" w:type="dxa"/>
        <w:tblLayout w:type="fixed"/>
        <w:tblLook w:val="0400"/>
      </w:tblPr>
      <w:tblGrid>
        <w:gridCol w:w="4650"/>
        <w:gridCol w:w="5355"/>
        <w:tblGridChange w:id="0">
          <w:tblGrid>
            <w:gridCol w:w="4650"/>
            <w:gridCol w:w="5355"/>
          </w:tblGrid>
        </w:tblGridChange>
      </w:tblGrid>
      <w:tr>
        <w:trPr>
          <w:cantSplit w:val="0"/>
          <w:trHeight w:val="1464.0332031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C">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un micrositio y se integra por 15 Secciones que tratan temas diversos relacionados con el Derecho, la academia, la Igualdad, actividades del Voluntariado, desarrollo humano, la mediación, el Archivo General e incluso el arte, a través de una redacción sencilla, clara y concreta, a fin de que la lectura pueda ser provechosa para cualquier persona.</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1F">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f</w:t>
            </w:r>
            <w:r w:rsidDel="00000000" w:rsidR="00000000" w:rsidRPr="00000000">
              <w:rPr>
                <w:rFonts w:ascii="Palatino Linotype" w:cs="Palatino Linotype" w:eastAsia="Palatino Linotype" w:hAnsi="Palatino Linotype"/>
                <w:rtl w:val="0"/>
              </w:rPr>
              <w:t xml:space="preserve">omento de la cultura de la legalidad, que promueve entre estudiantes, padres de familia y docentes, el respeto a la ley, la credibilidad en las instituciones, la tolerancia, el respeto, la paz y el diálogo como una base de valores para construir ciudadanía y fortalecer el tejido social, incentivar la participación ciudadana, favorecer la rendición de cuentas y la transparencia.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1">
            <w:pPr>
              <w:spacing w:line="240" w:lineRule="auto"/>
              <w:jc w:val="both"/>
              <w:rPr>
                <w:rFonts w:ascii="Arial" w:cs="Arial" w:eastAsia="Arial" w:hAnsi="Arial"/>
                <w:u w:val="single"/>
              </w:rPr>
            </w:pPr>
            <w:r w:rsidDel="00000000" w:rsidR="00000000" w:rsidRPr="00000000">
              <w:rPr>
                <w:rFonts w:ascii="Palatino Linotype" w:cs="Palatino Linotype" w:eastAsia="Palatino Linotype" w:hAnsi="Palatino Linotype"/>
                <w:rtl w:val="0"/>
              </w:rPr>
              <w:t xml:space="preserve">Para difundir las acciones llevadas a cabo en su importante labor de impartición de justicia en la entidad más densamente poblada del país. Así como con la intención de vincular de forma directa al Poder Judicial del Estado de México con la sociedad, a quien se buscaba informar sobre las funciones propias de la institución.</w:t>
            </w:r>
            <w:r w:rsidDel="00000000" w:rsidR="00000000" w:rsidRPr="00000000">
              <w:rPr>
                <w:rtl w:val="0"/>
              </w:rPr>
            </w:r>
          </w:p>
        </w:tc>
      </w:tr>
      <w:tr>
        <w:trPr>
          <w:cantSplit w:val="0"/>
          <w:trHeight w:val="13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r w:rsidDel="00000000" w:rsidR="00000000" w:rsidRPr="00000000">
              <w:rPr>
                <w:rtl w:val="0"/>
              </w:rPr>
            </w:r>
          </w:p>
          <w:p w:rsidR="00000000" w:rsidDel="00000000" w:rsidP="00000000" w:rsidRDefault="00000000" w:rsidRPr="00000000" w14:paraId="00000023">
            <w:pPr>
              <w:shd w:fill="ffffff" w:val="clea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facilitado el acceso a información de interés</w:t>
            </w:r>
          </w:p>
          <w:p w:rsidR="00000000" w:rsidDel="00000000" w:rsidP="00000000" w:rsidRDefault="00000000" w:rsidRPr="00000000" w14:paraId="00000024">
            <w:pPr>
              <w:shd w:fill="ffffff" w:val="clea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Mejorar la comunicación con los ciudadanos que interactúan con el sistema judicial</w:t>
            </w:r>
          </w:p>
          <w:p w:rsidR="00000000" w:rsidDel="00000000" w:rsidP="00000000" w:rsidRDefault="00000000" w:rsidRPr="00000000" w14:paraId="00000025">
            <w:pPr>
              <w:shd w:fill="ffffff" w:val="clear"/>
              <w:spacing w:after="0" w:line="240" w:lineRule="auto"/>
              <w:jc w:val="both"/>
              <w:rPr>
                <w:rFonts w:ascii="Arial" w:cs="Arial" w:eastAsia="Arial" w:hAnsi="Arial"/>
                <w:u w:val="single"/>
              </w:rPr>
            </w:pPr>
            <w:r w:rsidDel="00000000" w:rsidR="00000000" w:rsidRPr="00000000">
              <w:rPr>
                <w:rFonts w:ascii="Palatino Linotype" w:cs="Palatino Linotype" w:eastAsia="Palatino Linotype" w:hAnsi="Palatino Linotype"/>
                <w:rtl w:val="0"/>
              </w:rPr>
              <w:t xml:space="preserve">Promover la transparencia y </w:t>
            </w:r>
            <w:r w:rsidDel="00000000" w:rsidR="00000000" w:rsidRPr="00000000">
              <w:rPr>
                <w:rFonts w:ascii="Palatino Linotype" w:cs="Palatino Linotype" w:eastAsia="Palatino Linotype" w:hAnsi="Palatino Linotype"/>
                <w:rtl w:val="0"/>
              </w:rPr>
              <w:t xml:space="preserve">contribuyendo</w:t>
            </w:r>
            <w:r w:rsidDel="00000000" w:rsidR="00000000" w:rsidRPr="00000000">
              <w:rPr>
                <w:rFonts w:ascii="Palatino Linotype" w:cs="Palatino Linotype" w:eastAsia="Palatino Linotype" w:hAnsi="Palatino Linotype"/>
                <w:rtl w:val="0"/>
              </w:rPr>
              <w:t xml:space="preserve"> a una administración de justicia más eficiente y accesible para todos los ciudadanos</w:t>
            </w:r>
            <w:r w:rsidDel="00000000" w:rsidR="00000000" w:rsidRPr="00000000">
              <w:rPr>
                <w:rFonts w:ascii="Arial Narrow" w:cs="Arial Narrow" w:eastAsia="Arial Narrow" w:hAnsi="Arial Narrow"/>
                <w:rtl w:val="0"/>
              </w:rPr>
              <w:t xml:space="preserve">.</w:t>
            </w:r>
            <w:r w:rsidDel="00000000" w:rsidR="00000000" w:rsidRPr="00000000">
              <w:rPr>
                <w:rtl w:val="0"/>
              </w:rPr>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Sí, contiene un  apartado para enviar comentarios y una encuesta de satisfacción. Del mismo modo se solicitó la retroalimentación y apoyo de los Observatorios de la Abogacía Mexiquense y del Observatorio Ciudadano en favor de la Justicia.</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¿Cómo contribuye a la apertura gubernamental?</w:t>
            </w:r>
            <w:r w:rsidDel="00000000" w:rsidR="00000000" w:rsidRPr="00000000">
              <w:rPr>
                <w:rtl w:val="0"/>
              </w:rPr>
            </w:r>
          </w:p>
          <w:p w:rsidR="00000000" w:rsidDel="00000000" w:rsidP="00000000" w:rsidRDefault="00000000" w:rsidRPr="00000000" w14:paraId="0000002A">
            <w:pPr>
              <w:spacing w:after="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acceso a la información</w:t>
            </w:r>
          </w:p>
          <w:p w:rsidR="00000000" w:rsidDel="00000000" w:rsidP="00000000" w:rsidRDefault="00000000" w:rsidRPr="00000000" w14:paraId="0000002B">
            <w:pPr>
              <w:spacing w:after="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detonar la rendición de cuentas efectiva</w:t>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Observaciones:</w:t>
            </w:r>
            <w:r w:rsidDel="00000000" w:rsidR="00000000" w:rsidRPr="00000000">
              <w:rPr>
                <w:rtl w:val="0"/>
              </w:rPr>
            </w:r>
          </w:p>
          <w:p w:rsidR="00000000" w:rsidDel="00000000" w:rsidP="00000000" w:rsidRDefault="00000000" w:rsidRPr="00000000" w14:paraId="0000002D">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la información remitida, se advierte que no cuenta con los elementos suficientes para considerarse una Práctica de Transparencia Proactiva al no apreciarse el atributo de calidad de la información de datos abiertos. Ya que al ser una propuesta presentada en medios electrónicos se debería privilegiar la información en formato de datos abiertos.</w:t>
            </w:r>
          </w:p>
        </w:tc>
      </w:tr>
      <w:tr>
        <w:trPr>
          <w:cantSplit w:val="0"/>
          <w:trHeight w:val="60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Recomendación: </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Se sugiere al Sujeto Obligado atender las observaciones mencionadas.</w:t>
            </w:r>
            <w:r w:rsidDel="00000000" w:rsidR="00000000" w:rsidRPr="00000000">
              <w:rPr>
                <w:rtl w:val="0"/>
              </w:rPr>
            </w:r>
          </w:p>
        </w:tc>
      </w:tr>
    </w:tbl>
    <w:p w:rsidR="00000000" w:rsidDel="00000000" w:rsidP="00000000" w:rsidRDefault="00000000" w:rsidRPr="00000000" w14:paraId="00000032">
      <w:pP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33">
      <w:pPr>
        <w:jc w:val="both"/>
        <w:rPr>
          <w:rFonts w:ascii="Arial" w:cs="Arial" w:eastAsia="Arial" w:hAnsi="Arial"/>
        </w:rPr>
      </w:pPr>
      <w:bookmarkStart w:colFirst="0" w:colLast="0" w:name="_heading=h.1fob9te" w:id="1"/>
      <w:bookmarkEnd w:id="1"/>
      <w:r w:rsidDel="00000000" w:rsidR="00000000" w:rsidRPr="00000000">
        <w:rPr>
          <w:rtl w:val="0"/>
        </w:rPr>
      </w:r>
    </w:p>
    <w:sectPr>
      <w:headerReference r:id="rId9" w:type="default"/>
      <w:footerReference r:id="rId10" w:type="default"/>
      <w:pgSz w:h="15840" w:w="12240" w:orient="portrait"/>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Black">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jc w:val="center"/>
      <w:rPr>
        <w:rFonts w:ascii="Arial Black" w:cs="Arial Black" w:eastAsia="Arial Black" w:hAnsi="Arial Black"/>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-1137281</wp:posOffset>
          </wp:positionH>
          <wp:positionV relativeFrom="paragraph">
            <wp:posOffset>-1177286</wp:posOffset>
          </wp:positionV>
          <wp:extent cx="8210550" cy="2508250"/>
          <wp:effectExtent b="0" l="0" r="0" t="0"/>
          <wp:wrapNone/>
          <wp:docPr id="299" name="image2.jpg"/>
          <a:graphic>
            <a:graphicData uri="http://schemas.openxmlformats.org/drawingml/2006/picture">
              <pic:pic>
                <pic:nvPicPr>
                  <pic:cNvPr id="0" name="image2.jpg"/>
                  <pic:cNvPicPr preferRelativeResize="0"/>
                </pic:nvPicPr>
                <pic:blipFill>
                  <a:blip r:embed="rId1"/>
                  <a:srcRect b="-949" l="0" r="0" t="45574"/>
                  <a:stretch>
                    <a:fillRect/>
                  </a:stretch>
                </pic:blipFill>
                <pic:spPr>
                  <a:xfrm>
                    <a:off x="0" y="0"/>
                    <a:ext cx="8210550" cy="2508250"/>
                  </a:xfrm>
                  <a:prstGeom prst="rect"/>
                  <a:ln/>
                </pic:spPr>
              </pic:pic>
            </a:graphicData>
          </a:graphic>
        </wp:anchor>
      </w:drawing>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00"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60" l="27474" r="25000" t="5796"/>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-1080131</wp:posOffset>
          </wp:positionH>
          <wp:positionV relativeFrom="paragraph">
            <wp:posOffset>-1315081</wp:posOffset>
          </wp:positionV>
          <wp:extent cx="7808595" cy="9436100"/>
          <wp:effectExtent b="0" l="0" r="0" t="0"/>
          <wp:wrapNone/>
          <wp:docPr id="298" name="image2.jpg"/>
          <a:graphic>
            <a:graphicData uri="http://schemas.openxmlformats.org/drawingml/2006/picture">
              <pic:pic>
                <pic:nvPicPr>
                  <pic:cNvPr id="0" name="image2.jpg"/>
                  <pic:cNvPicPr preferRelativeResize="0"/>
                </pic:nvPicPr>
                <pic:blipFill>
                  <a:blip r:embed="rId2"/>
                  <a:srcRect b="0" l="0" r="0" t="6051"/>
                  <a:stretch>
                    <a:fillRect/>
                  </a:stretch>
                </pic:blipFill>
                <pic:spPr>
                  <a:xfrm rot="10800000">
                    <a:off x="0" y="0"/>
                    <a:ext cx="7808595" cy="9436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yoporlajusticia.gob.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ArialBlack-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V3MEfplhVI5hAh8Smj2v4tENuA==">CgMxLjAyCWguMzBqMHpsbDIJaC4xZm9iOXRlOAByITE2NXl4d3pGMlB4V2s3WWVKR2xmZm91aEZQZnRPVEFXaw==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