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419"/>
          <w:tab w:val="right" w:leader="none" w:pos="8838"/>
        </w:tabs>
        <w:spacing w:after="0" w:line="240" w:lineRule="auto"/>
        <w:ind w:hanging="709"/>
        <w:jc w:val="center"/>
        <w:rPr>
          <w:rFonts w:ascii="Arial" w:cs="Arial" w:eastAsia="Arial" w:hAnsi="Arial"/>
        </w:rPr>
      </w:pPr>
      <w:r w:rsidDel="00000000" w:rsidR="00000000" w:rsidRPr="00000000">
        <w:rPr>
          <w:rFonts w:ascii="Palatino Linotype" w:cs="Palatino Linotype" w:eastAsia="Palatino Linotype" w:hAnsi="Palatino Linotype"/>
          <w:b w:val="1"/>
          <w:sz w:val="20"/>
          <w:szCs w:val="20"/>
          <w:rtl w:val="0"/>
        </w:rPr>
        <w:t xml:space="preserve">FICHA TÉCNICA</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bl>
      <w:tblPr>
        <w:tblStyle w:val="Table1"/>
        <w:tblW w:w="10080.0" w:type="dxa"/>
        <w:jc w:val="left"/>
        <w:tblInd w:w="-645.0" w:type="dxa"/>
        <w:tblLayout w:type="fixed"/>
        <w:tblLook w:val="0400"/>
      </w:tblPr>
      <w:tblGrid>
        <w:gridCol w:w="4905"/>
        <w:gridCol w:w="2910"/>
        <w:gridCol w:w="2265"/>
        <w:tblGridChange w:id="0">
          <w:tblGrid>
            <w:gridCol w:w="4905"/>
            <w:gridCol w:w="2910"/>
            <w:gridCol w:w="2265"/>
          </w:tblGrid>
        </w:tblGridChange>
      </w:tblGrid>
      <w:tr>
        <w:trPr>
          <w:cantSplit w:val="0"/>
          <w:trHeight w:val="496" w:hRule="atLeast"/>
          <w:tblHeader w:val="1"/>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4">
            <w:pPr>
              <w:spacing w:after="0" w:line="240" w:lineRule="auto"/>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Pr>
              <w:drawing>
                <wp:inline distB="114300" distT="114300" distL="114300" distR="114300">
                  <wp:extent cx="2808741" cy="1807174"/>
                  <wp:effectExtent b="0" l="0" r="0" t="0"/>
                  <wp:docPr id="301" name="image3.png"/>
                  <a:graphic>
                    <a:graphicData uri="http://schemas.openxmlformats.org/drawingml/2006/picture">
                      <pic:pic>
                        <pic:nvPicPr>
                          <pic:cNvPr id="0" name="image3.png"/>
                          <pic:cNvPicPr preferRelativeResize="0"/>
                        </pic:nvPicPr>
                        <pic:blipFill>
                          <a:blip r:embed="rId7"/>
                          <a:srcRect b="3153" l="2338" r="18299" t="6144"/>
                          <a:stretch>
                            <a:fillRect/>
                          </a:stretch>
                        </pic:blipFill>
                        <pic:spPr>
                          <a:xfrm>
                            <a:off x="0" y="0"/>
                            <a:ext cx="2808741" cy="1807174"/>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 la práctica:</w:t>
            </w:r>
          </w:p>
          <w:p w:rsidR="00000000" w:rsidDel="00000000" w:rsidP="00000000" w:rsidRDefault="00000000" w:rsidRPr="00000000" w14:paraId="00000006">
            <w:pPr>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Protocolo Pre Alba</w:t>
            </w:r>
            <w:r w:rsidDel="00000000" w:rsidR="00000000" w:rsidRPr="00000000">
              <w:rPr>
                <w:rtl w:val="0"/>
              </w:rPr>
            </w:r>
          </w:p>
        </w:tc>
      </w:tr>
      <w:tr>
        <w:trPr>
          <w:cantSplit w:val="0"/>
          <w:trHeight w:val="544"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del Sujeto Obligado</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Ayuntamiento de San Antonio la Isla</w:t>
            </w:r>
            <w:r w:rsidDel="00000000" w:rsidR="00000000" w:rsidRPr="00000000">
              <w:rPr>
                <w:rtl w:val="0"/>
              </w:rPr>
            </w:r>
          </w:p>
        </w:tc>
      </w:tr>
      <w:tr>
        <w:trPr>
          <w:cantSplit w:val="0"/>
          <w:trHeight w:val="276"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Área responsable de la práctica</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Unidad de Transparencia / Coordinación</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Mujeres y Protocolo Pre Alba</w:t>
            </w:r>
          </w:p>
        </w:tc>
      </w:tr>
      <w:tr>
        <w:trPr>
          <w:cantSplit w:val="0"/>
          <w:trHeight w:val="630"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Disponible para su consulta en:</w:t>
            </w:r>
          </w:p>
          <w:p w:rsidR="00000000" w:rsidDel="00000000" w:rsidP="00000000" w:rsidRDefault="00000000" w:rsidRPr="00000000" w14:paraId="00000013">
            <w:pPr>
              <w:jc w:val="center"/>
              <w:rPr>
                <w:rFonts w:ascii="Palatino Linotype" w:cs="Palatino Linotype" w:eastAsia="Palatino Linotype" w:hAnsi="Palatino Linotype"/>
                <w:b w:val="1"/>
                <w:i w:val="0"/>
                <w:smallCaps w:val="0"/>
                <w:strike w:val="0"/>
                <w:color w:val="000000"/>
                <w:u w:val="none"/>
                <w:shd w:fill="auto" w:val="clear"/>
                <w:vertAlign w:val="baseline"/>
              </w:rPr>
            </w:pPr>
            <w:hyperlink r:id="rId8">
              <w:r w:rsidDel="00000000" w:rsidR="00000000" w:rsidRPr="00000000">
                <w:rPr>
                  <w:rFonts w:ascii="Palatino Linotype" w:cs="Palatino Linotype" w:eastAsia="Palatino Linotype" w:hAnsi="Palatino Linotype"/>
                  <w:color w:val="1155cc"/>
                  <w:u w:val="single"/>
                  <w:rtl w:val="0"/>
                </w:rPr>
                <w:t xml:space="preserve">https://sanantoniolaisla.gob.mx/transparencia-proactiva/</w:t>
              </w:r>
            </w:hyperlink>
            <w:r w:rsidDel="00000000" w:rsidR="00000000" w:rsidRPr="00000000">
              <w:rPr>
                <w:rFonts w:ascii="Palatino Linotype" w:cs="Palatino Linotype" w:eastAsia="Palatino Linotype" w:hAnsi="Palatino Linotype"/>
                <w:b w:val="1"/>
                <w:rtl w:val="0"/>
              </w:rPr>
              <w:t xml:space="preserve"> </w:t>
            </w:r>
            <w:r w:rsidDel="00000000" w:rsidR="00000000" w:rsidRPr="00000000">
              <w:rPr>
                <w:rtl w:val="0"/>
              </w:rPr>
            </w:r>
          </w:p>
        </w:tc>
      </w:tr>
      <w:tr>
        <w:trPr>
          <w:cantSplit w:val="0"/>
          <w:trHeight w:val="520"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Periodo:</w:t>
            </w: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 2019</w:t>
            </w:r>
            <w:r w:rsidDel="00000000" w:rsidR="00000000" w:rsidRPr="00000000">
              <w:rPr>
                <w:rFonts w:ascii="Palatino Linotype" w:cs="Palatino Linotype" w:eastAsia="Palatino Linotype" w:hAnsi="Palatino Linotype"/>
                <w:rtl w:val="0"/>
              </w:rPr>
              <w:t xml:space="preserve"> a la fecha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Alcance</w:t>
            </w: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 Municipal</w:t>
            </w:r>
            <w:r w:rsidDel="00000000" w:rsidR="00000000" w:rsidRPr="00000000">
              <w:rPr>
                <w:rtl w:val="0"/>
              </w:rPr>
            </w:r>
          </w:p>
        </w:tc>
      </w:tr>
      <w:tr>
        <w:trPr>
          <w:cantSplit w:val="0"/>
          <w:trHeight w:val="395"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Lugar: </w:t>
            </w:r>
            <w:r w:rsidDel="00000000" w:rsidR="00000000" w:rsidRPr="00000000">
              <w:rPr>
                <w:rFonts w:ascii="Palatino Linotype" w:cs="Palatino Linotype" w:eastAsia="Palatino Linotype" w:hAnsi="Palatino Linotype"/>
                <w:rtl w:val="0"/>
              </w:rPr>
              <w:t xml:space="preserve">San Antonio la Isla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Puntuación total:</w:t>
            </w: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 100</w:t>
            </w:r>
            <w:r w:rsidDel="00000000" w:rsidR="00000000" w:rsidRPr="00000000">
              <w:rPr>
                <w:rtl w:val="0"/>
              </w:rPr>
            </w:r>
          </w:p>
        </w:tc>
      </w:tr>
    </w:tbl>
    <w:p w:rsidR="00000000" w:rsidDel="00000000" w:rsidP="00000000" w:rsidRDefault="00000000" w:rsidRPr="00000000" w14:paraId="0000001B">
      <w:pPr>
        <w:spacing w:after="0" w:lineRule="auto"/>
        <w:jc w:val="center"/>
        <w:rPr>
          <w:rFonts w:ascii="Palatino Linotype" w:cs="Palatino Linotype" w:eastAsia="Palatino Linotype" w:hAnsi="Palatino Linotype"/>
          <w:b w:val="1"/>
        </w:rPr>
      </w:pPr>
      <w:bookmarkStart w:colFirst="0" w:colLast="0" w:name="_heading=h.30j0zll" w:id="0"/>
      <w:bookmarkEnd w:id="0"/>
      <w:r w:rsidDel="00000000" w:rsidR="00000000" w:rsidRPr="00000000">
        <w:rPr>
          <w:rtl w:val="0"/>
        </w:rPr>
      </w:r>
    </w:p>
    <w:tbl>
      <w:tblPr>
        <w:tblStyle w:val="Table2"/>
        <w:tblW w:w="10005.0" w:type="dxa"/>
        <w:jc w:val="left"/>
        <w:tblInd w:w="-572.0" w:type="dxa"/>
        <w:tblLayout w:type="fixed"/>
        <w:tblLook w:val="0400"/>
      </w:tblPr>
      <w:tblGrid>
        <w:gridCol w:w="4650"/>
        <w:gridCol w:w="5355"/>
        <w:tblGridChange w:id="0">
          <w:tblGrid>
            <w:gridCol w:w="4650"/>
            <w:gridCol w:w="5355"/>
          </w:tblGrid>
        </w:tblGridChange>
      </w:tblGrid>
      <w:tr>
        <w:trPr>
          <w:cantSplit w:val="0"/>
          <w:trHeight w:val="900"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¿Qué es y cómo funciona la práctica?</w:t>
            </w:r>
            <w:r w:rsidDel="00000000" w:rsidR="00000000" w:rsidRPr="00000000">
              <w:rPr>
                <w:rtl w:val="0"/>
              </w:rPr>
            </w:r>
          </w:p>
          <w:p w:rsidR="00000000" w:rsidDel="00000000" w:rsidP="00000000" w:rsidRDefault="00000000" w:rsidRPr="00000000" w14:paraId="0000001D">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Brinda información, dota de conocimientos y herramientas principalmente a mujeres que les permitan mejorar su calidad de vida y reducir la dependencia que puedan tener respecto a terceras personas.</w:t>
            </w:r>
            <w:r w:rsidDel="00000000" w:rsidR="00000000" w:rsidRPr="00000000">
              <w:rPr>
                <w:rtl w:val="0"/>
              </w:rPr>
            </w:r>
          </w:p>
        </w:tc>
      </w:tr>
      <w:tr>
        <w:trPr>
          <w:cantSplit w:val="0"/>
          <w:trHeight w:val="2012.6464843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Objetivo:</w:t>
            </w:r>
            <w:r w:rsidDel="00000000" w:rsidR="00000000" w:rsidRPr="00000000">
              <w:rPr>
                <w:rtl w:val="0"/>
              </w:rPr>
            </w:r>
          </w:p>
          <w:p w:rsidR="00000000" w:rsidDel="00000000" w:rsidP="00000000" w:rsidRDefault="00000000" w:rsidRPr="00000000" w14:paraId="00000020">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Prevenir el feminicidio en el territorio municipal a través de la atención oportuna de la violencia de género y el empoderamiento de las mujeres otorgando las herramientas necesarias para acceder a las políticas públicas municipales.</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¿Por qué se desarrolló?</w:t>
            </w:r>
            <w:r w:rsidDel="00000000" w:rsidR="00000000" w:rsidRPr="00000000">
              <w:rPr>
                <w:rtl w:val="0"/>
              </w:rPr>
            </w:r>
          </w:p>
          <w:p w:rsidR="00000000" w:rsidDel="00000000" w:rsidP="00000000" w:rsidRDefault="00000000" w:rsidRPr="00000000" w14:paraId="00000022">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tomó en consideración el sondeo de opinión llevado a cabo para formular el Plan de Desarrollo Municipal mediante el cual fue posible identificar la vulnerabilidad de las mujeres a ser víctimas de violencia en el municipio.</w:t>
            </w:r>
          </w:p>
        </w:tc>
      </w:tr>
      <w:tr>
        <w:trPr>
          <w:cantSplit w:val="0"/>
          <w:trHeight w:val="960"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Beneficios o e</w:t>
            </w:r>
            <w:r w:rsidDel="00000000" w:rsidR="00000000" w:rsidRPr="00000000">
              <w:rPr>
                <w:rFonts w:ascii="Palatino Linotype" w:cs="Palatino Linotype" w:eastAsia="Palatino Linotype" w:hAnsi="Palatino Linotype"/>
                <w:b w:val="1"/>
                <w:i w:val="0"/>
                <w:smallCaps w:val="0"/>
                <w:strike w:val="0"/>
                <w:color w:val="000000"/>
                <w:highlight w:val="white"/>
                <w:u w:val="none"/>
                <w:vertAlign w:val="baseline"/>
                <w:rtl w:val="0"/>
              </w:rPr>
              <w:t xml:space="preserve">fectos positivos generados a partir de la información difundida</w:t>
            </w:r>
            <w:r w:rsidDel="00000000" w:rsidR="00000000" w:rsidRPr="00000000">
              <w:rPr>
                <w:rtl w:val="0"/>
              </w:rPr>
            </w:r>
          </w:p>
          <w:p w:rsidR="00000000" w:rsidDel="00000000" w:rsidP="00000000" w:rsidRDefault="00000000" w:rsidRPr="00000000" w14:paraId="00000024">
            <w:pPr>
              <w:spacing w:after="0" w:line="24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Generar confianza en las mujeres para participar de esta política pública municipal.</w:t>
            </w:r>
          </w:p>
          <w:p w:rsidR="00000000" w:rsidDel="00000000" w:rsidP="00000000" w:rsidRDefault="00000000" w:rsidRPr="00000000" w14:paraId="00000025">
            <w:pPr>
              <w:spacing w:after="0" w:line="24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han conformado grupos homogéneos de participación ciudadana.</w:t>
            </w:r>
          </w:p>
        </w:tc>
      </w:tr>
      <w:tr>
        <w:trPr>
          <w:cantSplit w:val="0"/>
          <w:trHeight w:val="821"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¿La práctica cuenta con mecanismos de participación ciudadana durante el proceso?</w:t>
            </w: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Sí, se tomó en consideración el sondeo de opinión llevado a cabo para formular el Plan de Desarrollo Municipal mediante el cual fue posible identificar la vulnerabilidad de las mujeres a ser víctimas de violencia en el municipio, además cuenta con una evaluación ciudadana en su micrositio.</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¿Cómo contribuye a la apertura gubernamental?</w:t>
            </w:r>
            <w:r w:rsidDel="00000000" w:rsidR="00000000" w:rsidRPr="00000000">
              <w:rPr>
                <w:rtl w:val="0"/>
              </w:rPr>
            </w:r>
          </w:p>
          <w:p w:rsidR="00000000" w:rsidDel="00000000" w:rsidP="00000000" w:rsidRDefault="00000000" w:rsidRPr="00000000" w14:paraId="0000002A">
            <w:pPr>
              <w:spacing w:after="0"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acceso a la información y la participación ciudadana, así mismo a optimizar la toma de decisiones más informada.</w:t>
            </w:r>
          </w:p>
        </w:tc>
      </w:tr>
      <w:tr>
        <w:trPr>
          <w:cantSplit w:val="0"/>
          <w:trHeight w:val="1024"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tl w:val="0"/>
              </w:rPr>
              <w:t xml:space="preserve">Descripción</w:t>
            </w: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Esta práctica contribuye a la prevención de la violencia feminicida y con ello la erradicación del feminicidio en el territorio municipal, integrando una red de acción en la que se incluye al Sector Social (Casas Amiga, Agentes, Embajadores y Comunidad PreAlba), Sector Público (Módulos PreAlba, áreas y personal de la Administración Pública Municipal, vinculación con otros municipios, dependencias estatales y federales) y Sector Privado (Establecimientos comerciales, Empresas, así como Asociaciones Civiles y No Gubernamentales). Utiliza como medio de difusión alterno su página de internet publicando la problemática y justificación identificada para su creación; así como el marco jurídico, objetivos y líneas de acción. Contiene un apartado dedicado a los programas específicos operados por el Protocolo Pre Alba, con la finalidad de que la población conozca de primera mano los beneficios que puede obtener con los servicios ofrecido, tales como: red de agentes Pre Alba, comité de sororidad, casas amiga, beneficiarias de mastografías; Empresas Pre Alba y Módulos Pre Alba. Cuenta con información descargable en formato de datos abiertos “TXT”, respecto de sus estrategias y líneas de acción; promueve la participación ciudadana mediante encuestas de satisfacción que son aplicadas al terminar las charlas impartidas de manera presencial, así como una evaluación para la información publicada en la página de internet.  </w:t>
            </w:r>
          </w:p>
        </w:tc>
      </w:tr>
    </w:tbl>
    <w:p w:rsidR="00000000" w:rsidDel="00000000" w:rsidP="00000000" w:rsidRDefault="00000000" w:rsidRPr="00000000" w14:paraId="0000002E">
      <w:pPr>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2F">
      <w:pPr>
        <w:jc w:val="both"/>
        <w:rPr>
          <w:rFonts w:ascii="Arial" w:cs="Arial" w:eastAsia="Arial" w:hAnsi="Arial"/>
        </w:rPr>
      </w:pPr>
      <w:bookmarkStart w:colFirst="0" w:colLast="0" w:name="_heading=h.1fob9te" w:id="1"/>
      <w:bookmarkEnd w:id="1"/>
      <w:r w:rsidDel="00000000" w:rsidR="00000000" w:rsidRPr="00000000">
        <w:rPr>
          <w:rtl w:val="0"/>
        </w:rPr>
      </w:r>
    </w:p>
    <w:sectPr>
      <w:headerReference r:id="rId9" w:type="default"/>
      <w:footerReference r:id="rId10" w:type="default"/>
      <w:pgSz w:h="15840" w:w="12240" w:orient="portrait"/>
      <w:pgMar w:bottom="426" w:top="703" w:left="1701" w:right="1701" w:header="284" w:footer="12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jc w:val="center"/>
      <w:rPr>
        <w:rFonts w:ascii="Arial Black" w:cs="Arial Black" w:eastAsia="Arial Black" w:hAnsi="Arial Black"/>
        <w:b w:val="1"/>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-1137281</wp:posOffset>
          </wp:positionH>
          <wp:positionV relativeFrom="paragraph">
            <wp:posOffset>-1177286</wp:posOffset>
          </wp:positionV>
          <wp:extent cx="8210550" cy="2508250"/>
          <wp:effectExtent b="0" l="0" r="0" t="0"/>
          <wp:wrapNone/>
          <wp:docPr id="299" name="image2.jpg"/>
          <a:graphic>
            <a:graphicData uri="http://schemas.openxmlformats.org/drawingml/2006/picture">
              <pic:pic>
                <pic:nvPicPr>
                  <pic:cNvPr id="0" name="image2.jpg"/>
                  <pic:cNvPicPr preferRelativeResize="0"/>
                </pic:nvPicPr>
                <pic:blipFill>
                  <a:blip r:embed="rId1"/>
                  <a:srcRect b="-949" l="0" r="0" t="45574"/>
                  <a:stretch>
                    <a:fillRect/>
                  </a:stretch>
                </pic:blipFill>
                <pic:spPr>
                  <a:xfrm>
                    <a:off x="0" y="0"/>
                    <a:ext cx="8210550" cy="2508250"/>
                  </a:xfrm>
                  <a:prstGeom prst="rect"/>
                  <a:ln/>
                </pic:spPr>
              </pic:pic>
            </a:graphicData>
          </a:graphic>
        </wp:anchor>
      </w:drawing>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709"/>
      <w:rPr>
        <w:color w:val="000000"/>
      </w:rPr>
    </w:pPr>
    <w:r w:rsidDel="00000000" w:rsidR="00000000" w:rsidRPr="00000000">
      <w:rPr/>
      <w:drawing>
        <wp:inline distB="0" distT="0" distL="0" distR="0">
          <wp:extent cx="1219200" cy="603250"/>
          <wp:effectExtent b="0" l="0" r="0" t="0"/>
          <wp:docPr descr="https://lh6.googleusercontent.com/jNsTCK7SJZV1G9JWz3KsjecHRN4qJBWoT1yqJ8zI3zdP1eyDVhfsZPKAbxD-9PH4L81amB6R4ly7ryAICARerfuunqGa48sgff2NtmnjPGjMrXalaO6TgZ9QPIAQbCVvAvSzKqdARw2yNhE-5_s2eg" id="300" name="image1.png"/>
          <a:graphic>
            <a:graphicData uri="http://schemas.openxmlformats.org/drawingml/2006/picture">
              <pic:pic>
                <pic:nvPicPr>
                  <pic:cNvPr descr="https://lh6.googleusercontent.com/jNsTCK7SJZV1G9JWz3KsjecHRN4qJBWoT1yqJ8zI3zdP1eyDVhfsZPKAbxD-9PH4L81amB6R4ly7ryAICARerfuunqGa48sgff2NtmnjPGjMrXalaO6TgZ9QPIAQbCVvAvSzKqdARw2yNhE-5_s2eg" id="0" name="image1.png"/>
                  <pic:cNvPicPr preferRelativeResize="0"/>
                </pic:nvPicPr>
                <pic:blipFill>
                  <a:blip r:embed="rId1"/>
                  <a:srcRect b="25360" l="27474" r="25000" t="5796"/>
                  <a:stretch>
                    <a:fillRect/>
                  </a:stretch>
                </pic:blipFill>
                <pic:spPr>
                  <a:xfrm>
                    <a:off x="0" y="0"/>
                    <a:ext cx="1219200" cy="60325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-1080131</wp:posOffset>
          </wp:positionH>
          <wp:positionV relativeFrom="paragraph">
            <wp:posOffset>-1315081</wp:posOffset>
          </wp:positionV>
          <wp:extent cx="7808595" cy="9436100"/>
          <wp:effectExtent b="0" l="0" r="0" t="0"/>
          <wp:wrapNone/>
          <wp:docPr id="298" name="image2.jpg"/>
          <a:graphic>
            <a:graphicData uri="http://schemas.openxmlformats.org/drawingml/2006/picture">
              <pic:pic>
                <pic:nvPicPr>
                  <pic:cNvPr id="0" name="image2.jpg"/>
                  <pic:cNvPicPr preferRelativeResize="0"/>
                </pic:nvPicPr>
                <pic:blipFill>
                  <a:blip r:embed="rId2"/>
                  <a:srcRect b="0" l="0" r="0" t="6051"/>
                  <a:stretch>
                    <a:fillRect/>
                  </a:stretch>
                </pic:blipFill>
                <pic:spPr>
                  <a:xfrm rot="10800000">
                    <a:off x="0" y="0"/>
                    <a:ext cx="7808595" cy="94361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6"/>
    <w:tblPr>
      <w:tblStyleRowBandSize w:val="1"/>
      <w:tblStyleColBandSize w:val="1"/>
      <w:tblCellMar>
        <w:top w:w="41.0" w:type="dxa"/>
        <w:left w:w="106.0" w:type="dxa"/>
        <w:bottom w:w="0.0" w:type="dxa"/>
        <w:right w:w="67.0" w:type="dxa"/>
      </w:tblCellMar>
    </w:tblPr>
  </w:style>
  <w:style w:type="table" w:styleId="a0" w:customStyle="1">
    <w:basedOn w:val="TableNormal6"/>
    <w:tblPr>
      <w:tblStyleRowBandSize w:val="1"/>
      <w:tblStyleColBandSize w:val="1"/>
      <w:tblCellMar>
        <w:top w:w="41.0" w:type="dxa"/>
        <w:left w:w="107.0" w:type="dxa"/>
        <w:bottom w:w="0.0" w:type="dxa"/>
        <w:right w:w="73.0" w:type="dxa"/>
      </w:tblCellMar>
    </w:tblPr>
  </w:style>
  <w:style w:type="table" w:styleId="a1" w:customStyle="1">
    <w:basedOn w:val="TableNormal6"/>
    <w:tblPr>
      <w:tblStyleRowBandSize w:val="1"/>
      <w:tblStyleColBandSize w:val="1"/>
      <w:tblCellMar>
        <w:top w:w="41.0" w:type="dxa"/>
        <w:left w:w="0.0" w:type="dxa"/>
        <w:bottom w:w="0.0" w:type="dxa"/>
        <w:right w:w="60.0" w:type="dxa"/>
      </w:tblCellMar>
    </w:tblPr>
  </w:style>
  <w:style w:type="table" w:styleId="a2" w:customStyle="1">
    <w:basedOn w:val="TableNormal6"/>
    <w:tblPr>
      <w:tblStyleRowBandSize w:val="1"/>
      <w:tblStyleColBandSize w:val="1"/>
      <w:tblCellMar>
        <w:top w:w="41.0" w:type="dxa"/>
        <w:left w:w="0.0" w:type="dxa"/>
        <w:bottom w:w="0.0" w:type="dxa"/>
        <w:right w:w="62.0" w:type="dxa"/>
      </w:tblCellMar>
    </w:tblPr>
  </w:style>
  <w:style w:type="table" w:styleId="a3" w:customStyle="1">
    <w:basedOn w:val="TableNormal6"/>
    <w:tblPr>
      <w:tblStyleRowBandSize w:val="1"/>
      <w:tblStyleColBandSize w:val="1"/>
      <w:tblCellMar>
        <w:top w:w="41.0" w:type="dxa"/>
        <w:left w:w="107.0" w:type="dxa"/>
        <w:bottom w:w="0.0" w:type="dxa"/>
        <w:right w:w="70.0" w:type="dxa"/>
      </w:tblCellMar>
    </w:tblPr>
  </w:style>
  <w:style w:type="table" w:styleId="a4" w:customStyle="1">
    <w:basedOn w:val="TableNormal6"/>
    <w:tblPr>
      <w:tblStyleRowBandSize w:val="1"/>
      <w:tblStyleColBandSize w:val="1"/>
      <w:tblCellMar>
        <w:top w:w="40.0" w:type="dxa"/>
        <w:left w:w="0.0" w:type="dxa"/>
        <w:bottom w:w="0.0" w:type="dxa"/>
        <w:right w:w="26.0" w:type="dxa"/>
      </w:tblCellMar>
    </w:tblPr>
  </w:style>
  <w:style w:type="table" w:styleId="a5" w:customStyle="1">
    <w:basedOn w:val="TableNormal6"/>
    <w:tblPr>
      <w:tblStyleRowBandSize w:val="1"/>
      <w:tblStyleColBandSize w:val="1"/>
      <w:tblCellMar>
        <w:top w:w="41.0" w:type="dxa"/>
        <w:left w:w="107.0" w:type="dxa"/>
        <w:bottom w:w="0.0" w:type="dxa"/>
        <w:right w:w="71.0" w:type="dxa"/>
      </w:tblCellMar>
    </w:tblPr>
  </w:style>
  <w:style w:type="table" w:styleId="a6" w:customStyle="1">
    <w:basedOn w:val="TableNormal6"/>
    <w:tblPr>
      <w:tblStyleRowBandSize w:val="1"/>
      <w:tblStyleColBandSize w:val="1"/>
      <w:tblCellMar>
        <w:top w:w="40.0" w:type="dxa"/>
        <w:left w:w="0.0" w:type="dxa"/>
        <w:bottom w:w="0.0" w:type="dxa"/>
        <w:right w:w="12.0" w:type="dxa"/>
      </w:tblCellMar>
    </w:tblPr>
  </w:style>
  <w:style w:type="table" w:styleId="a7" w:customStyle="1">
    <w:basedOn w:val="TableNormal6"/>
    <w:tblPr>
      <w:tblStyleRowBandSize w:val="1"/>
      <w:tblStyleColBandSize w:val="1"/>
      <w:tblCellMar>
        <w:top w:w="41.0" w:type="dxa"/>
        <w:left w:w="107.0" w:type="dxa"/>
        <w:bottom w:w="0.0" w:type="dxa"/>
        <w:right w:w="69.0" w:type="dxa"/>
      </w:tblCellMar>
    </w:tblPr>
  </w:style>
  <w:style w:type="table" w:styleId="a8" w:customStyle="1">
    <w:basedOn w:val="TableNormal6"/>
    <w:tblPr>
      <w:tblStyleRowBandSize w:val="1"/>
      <w:tblStyleColBandSize w:val="1"/>
      <w:tblCellMar>
        <w:top w:w="41.0" w:type="dxa"/>
        <w:left w:w="107.0" w:type="dxa"/>
        <w:bottom w:w="0.0" w:type="dxa"/>
        <w:right w:w="70.0" w:type="dxa"/>
      </w:tblCellMar>
    </w:tblPr>
  </w:style>
  <w:style w:type="table" w:styleId="a9" w:customStyle="1">
    <w:basedOn w:val="TableNormal6"/>
    <w:tblPr>
      <w:tblStyleRowBandSize w:val="1"/>
      <w:tblStyleColBandSize w:val="1"/>
      <w:tblCellMar>
        <w:top w:w="41.0" w:type="dxa"/>
        <w:left w:w="107.0" w:type="dxa"/>
        <w:bottom w:w="0.0" w:type="dxa"/>
        <w:right w:w="67.0" w:type="dxa"/>
      </w:tblCellMar>
    </w:tblPr>
  </w:style>
  <w:style w:type="table" w:styleId="aa" w:customStyle="1">
    <w:basedOn w:val="TableNormal6"/>
    <w:tblPr>
      <w:tblStyleRowBandSize w:val="1"/>
      <w:tblStyleColBandSize w:val="1"/>
      <w:tblCellMar>
        <w:top w:w="41.0" w:type="dxa"/>
        <w:left w:w="107.0" w:type="dxa"/>
        <w:bottom w:w="0.0" w:type="dxa"/>
        <w:right w:w="70.0" w:type="dxa"/>
      </w:tblCellMar>
    </w:tblPr>
  </w:style>
  <w:style w:type="table" w:styleId="ab" w:customStyle="1">
    <w:basedOn w:val="TableNormal6"/>
    <w:tblPr>
      <w:tblStyleRowBandSize w:val="1"/>
      <w:tblStyleColBandSize w:val="1"/>
      <w:tblCellMar>
        <w:top w:w="41.0" w:type="dxa"/>
        <w:left w:w="107.0" w:type="dxa"/>
        <w:bottom w:w="0.0" w:type="dxa"/>
        <w:right w:w="71.0" w:type="dxa"/>
      </w:tblCellMar>
    </w:tblPr>
  </w:style>
  <w:style w:type="table" w:styleId="ac" w:customStyle="1">
    <w:basedOn w:val="TableNormal6"/>
    <w:tblPr>
      <w:tblStyleRowBandSize w:val="1"/>
      <w:tblStyleColBandSize w:val="1"/>
      <w:tblCellMar>
        <w:top w:w="41.0" w:type="dxa"/>
        <w:left w:w="827.0" w:type="dxa"/>
        <w:bottom w:w="0.0" w:type="dxa"/>
        <w:right w:w="115.0" w:type="dxa"/>
      </w:tblCellMar>
    </w:tblPr>
  </w:style>
  <w:style w:type="table" w:styleId="ad" w:customStyle="1">
    <w:basedOn w:val="TableNormal6"/>
    <w:tblPr>
      <w:tblStyleRowBandSize w:val="1"/>
      <w:tblStyleColBandSize w:val="1"/>
      <w:tblCellMar>
        <w:top w:w="41.0" w:type="dxa"/>
        <w:left w:w="827.0" w:type="dxa"/>
        <w:bottom w:w="0.0" w:type="dxa"/>
        <w:right w:w="115.0" w:type="dxa"/>
      </w:tblCellMar>
    </w:tblPr>
  </w:style>
  <w:style w:type="table" w:styleId="ae" w:customStyle="1">
    <w:basedOn w:val="TableNormal6"/>
    <w:tblPr>
      <w:tblStyleRowBandSize w:val="1"/>
      <w:tblStyleColBandSize w:val="1"/>
      <w:tblCellMar>
        <w:top w:w="41.0" w:type="dxa"/>
        <w:left w:w="827.0" w:type="dxa"/>
        <w:bottom w:w="0.0" w:type="dxa"/>
        <w:right w:w="115.0" w:type="dxa"/>
      </w:tblCellMar>
    </w:tblPr>
  </w:style>
  <w:style w:type="table" w:styleId="af" w:customStyle="1">
    <w:basedOn w:val="TableNormal6"/>
    <w:tblPr>
      <w:tblStyleRowBandSize w:val="1"/>
      <w:tblStyleColBandSize w:val="1"/>
      <w:tblCellMar>
        <w:top w:w="41.0" w:type="dxa"/>
        <w:left w:w="827.0" w:type="dxa"/>
        <w:bottom w:w="0.0" w:type="dxa"/>
        <w:right w:w="115.0" w:type="dxa"/>
      </w:tblCellMar>
    </w:tblPr>
  </w:style>
  <w:style w:type="table" w:styleId="af0" w:customStyle="1">
    <w:basedOn w:val="TableNormal6"/>
    <w:tblPr>
      <w:tblStyleRowBandSize w:val="1"/>
      <w:tblStyleColBandSize w:val="1"/>
      <w:tblCellMar>
        <w:top w:w="41.0" w:type="dxa"/>
        <w:left w:w="827.0" w:type="dxa"/>
        <w:bottom w:w="0.0" w:type="dxa"/>
        <w:right w:w="115.0" w:type="dxa"/>
      </w:tblCellMar>
    </w:tblPr>
  </w:style>
  <w:style w:type="table" w:styleId="af1" w:customStyle="1">
    <w:basedOn w:val="TableNormal6"/>
    <w:tblPr>
      <w:tblStyleRowBandSize w:val="1"/>
      <w:tblStyleColBandSize w:val="1"/>
      <w:tblCellMar>
        <w:top w:w="41.0" w:type="dxa"/>
        <w:left w:w="827.0" w:type="dxa"/>
        <w:bottom w:w="0.0" w:type="dxa"/>
        <w:right w:w="115.0" w:type="dxa"/>
      </w:tblCellMar>
    </w:tblPr>
  </w:style>
  <w:style w:type="table" w:styleId="af2" w:customStyle="1">
    <w:basedOn w:val="TableNormal6"/>
    <w:tblPr>
      <w:tblStyleRowBandSize w:val="1"/>
      <w:tblStyleColBandSize w:val="1"/>
      <w:tblCellMar>
        <w:top w:w="41.0" w:type="dxa"/>
        <w:left w:w="827.0" w:type="dxa"/>
        <w:bottom w:w="0.0" w:type="dxa"/>
        <w:right w:w="115.0" w:type="dxa"/>
      </w:tblCellMar>
    </w:tblPr>
  </w:style>
  <w:style w:type="table" w:styleId="af3" w:customStyle="1">
    <w:basedOn w:val="TableNormal6"/>
    <w:tblPr>
      <w:tblStyleRowBandSize w:val="1"/>
      <w:tblStyleColBandSize w:val="1"/>
      <w:tblCellMar>
        <w:top w:w="41.0" w:type="dxa"/>
        <w:left w:w="827.0" w:type="dxa"/>
        <w:bottom w:w="0.0" w:type="dxa"/>
        <w:right w:w="115.0" w:type="dxa"/>
      </w:tblCellMar>
    </w:tblPr>
  </w:style>
  <w:style w:type="table" w:styleId="af4" w:customStyle="1">
    <w:basedOn w:val="TableNormal6"/>
    <w:tblPr>
      <w:tblStyleRowBandSize w:val="1"/>
      <w:tblStyleColBandSize w:val="1"/>
      <w:tblCellMar>
        <w:top w:w="41.0" w:type="dxa"/>
        <w:left w:w="827.0" w:type="dxa"/>
        <w:bottom w:w="0.0" w:type="dxa"/>
        <w:right w:w="115.0" w:type="dxa"/>
      </w:tblCellMar>
    </w:tblPr>
  </w:style>
  <w:style w:type="table" w:styleId="af5" w:customStyle="1">
    <w:basedOn w:val="TableNormal6"/>
    <w:tblPr>
      <w:tblStyleRowBandSize w:val="1"/>
      <w:tblStyleColBandSize w:val="1"/>
      <w:tblCellMar>
        <w:top w:w="41.0" w:type="dxa"/>
        <w:left w:w="827.0" w:type="dxa"/>
        <w:bottom w:w="0.0" w:type="dxa"/>
        <w:right w:w="115.0" w:type="dxa"/>
      </w:tblCellMar>
    </w:tblPr>
  </w:style>
  <w:style w:type="table" w:styleId="af6" w:customStyle="1">
    <w:basedOn w:val="TableNormal6"/>
    <w:tblPr>
      <w:tblStyleRowBandSize w:val="1"/>
      <w:tblStyleColBandSize w:val="1"/>
      <w:tblCellMar>
        <w:top w:w="41.0" w:type="dxa"/>
        <w:left w:w="827.0" w:type="dxa"/>
        <w:bottom w:w="0.0" w:type="dxa"/>
        <w:right w:w="115.0" w:type="dxa"/>
      </w:tblCellMar>
    </w:tblPr>
  </w:style>
  <w:style w:type="table" w:styleId="af7" w:customStyle="1">
    <w:basedOn w:val="TableNormal6"/>
    <w:tblPr>
      <w:tblStyleRowBandSize w:val="1"/>
      <w:tblStyleColBandSize w:val="1"/>
      <w:tblCellMar>
        <w:top w:w="41.0" w:type="dxa"/>
        <w:left w:w="827.0" w:type="dxa"/>
        <w:bottom w:w="0.0" w:type="dxa"/>
        <w:right w:w="115.0" w:type="dxa"/>
      </w:tblCellMar>
    </w:tblPr>
  </w:style>
  <w:style w:type="table" w:styleId="af8" w:customStyle="1">
    <w:basedOn w:val="TableNormal6"/>
    <w:tblPr>
      <w:tblStyleRowBandSize w:val="1"/>
      <w:tblStyleColBandSize w:val="1"/>
      <w:tblCellMar>
        <w:top w:w="41.0" w:type="dxa"/>
        <w:left w:w="827.0" w:type="dxa"/>
        <w:bottom w:w="0.0" w:type="dxa"/>
        <w:right w:w="115.0" w:type="dxa"/>
      </w:tblCellMar>
    </w:tblPr>
  </w:style>
  <w:style w:type="table" w:styleId="af9" w:customStyle="1">
    <w:basedOn w:val="TableNormal6"/>
    <w:tblPr>
      <w:tblStyleRowBandSize w:val="1"/>
      <w:tblStyleColBandSize w:val="1"/>
      <w:tblCellMar>
        <w:top w:w="41.0" w:type="dxa"/>
        <w:left w:w="827.0" w:type="dxa"/>
        <w:bottom w:w="0.0" w:type="dxa"/>
        <w:right w:w="115.0" w:type="dxa"/>
      </w:tblCellMar>
    </w:tblPr>
  </w:style>
  <w:style w:type="table" w:styleId="afa" w:customStyle="1">
    <w:basedOn w:val="TableNormal6"/>
    <w:tblPr>
      <w:tblStyleRowBandSize w:val="1"/>
      <w:tblStyleColBandSize w:val="1"/>
      <w:tblCellMar>
        <w:top w:w="41.0" w:type="dxa"/>
        <w:left w:w="827.0" w:type="dxa"/>
        <w:bottom w:w="0.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5"/>
    <w:tblPr>
      <w:tblStyleRowBandSize w:val="1"/>
      <w:tblStyleColBandSize w:val="1"/>
      <w:tblCellMar>
        <w:top w:w="41.0" w:type="dxa"/>
        <w:left w:w="827.0" w:type="dxa"/>
        <w:bottom w:w="0.0" w:type="dxa"/>
        <w:right w:w="115.0" w:type="dxa"/>
      </w:tblCellMar>
    </w:tblPr>
  </w:style>
  <w:style w:type="table" w:styleId="afc" w:customStyle="1">
    <w:basedOn w:val="TableNormal5"/>
    <w:tblPr>
      <w:tblStyleRowBandSize w:val="1"/>
      <w:tblStyleColBandSize w:val="1"/>
      <w:tblCellMar>
        <w:top w:w="41.0" w:type="dxa"/>
        <w:left w:w="827.0" w:type="dxa"/>
        <w:bottom w:w="0.0" w:type="dxa"/>
        <w:right w:w="115.0" w:type="dxa"/>
      </w:tblCellMar>
    </w:tblPr>
  </w:style>
  <w:style w:type="table" w:styleId="afd" w:customStyle="1">
    <w:basedOn w:val="TableNormal5"/>
    <w:tblPr>
      <w:tblStyleRowBandSize w:val="1"/>
      <w:tblStyleColBandSize w:val="1"/>
      <w:tblCellMar>
        <w:top w:w="41.0" w:type="dxa"/>
        <w:left w:w="827.0" w:type="dxa"/>
        <w:bottom w:w="0.0" w:type="dxa"/>
        <w:right w:w="115.0" w:type="dxa"/>
      </w:tblCellMar>
    </w:tblPr>
  </w:style>
  <w:style w:type="table" w:styleId="afe" w:customStyle="1">
    <w:basedOn w:val="TableNormal5"/>
    <w:tblPr>
      <w:tblStyleRowBandSize w:val="1"/>
      <w:tblStyleColBandSize w:val="1"/>
      <w:tblCellMar>
        <w:top w:w="41.0" w:type="dxa"/>
        <w:left w:w="827.0" w:type="dxa"/>
        <w:bottom w:w="0.0" w:type="dxa"/>
        <w:right w:w="115.0" w:type="dxa"/>
      </w:tblCellMar>
    </w:tblPr>
  </w:style>
  <w:style w:type="table" w:styleId="aff" w:customStyle="1">
    <w:basedOn w:val="TableNormal5"/>
    <w:tblPr>
      <w:tblStyleRowBandSize w:val="1"/>
      <w:tblStyleColBandSize w:val="1"/>
      <w:tblCellMar>
        <w:top w:w="41.0" w:type="dxa"/>
        <w:left w:w="827.0" w:type="dxa"/>
        <w:bottom w:w="0.0" w:type="dxa"/>
        <w:right w:w="115.0" w:type="dxa"/>
      </w:tblCellMar>
    </w:tblPr>
  </w:style>
  <w:style w:type="table" w:styleId="aff0" w:customStyle="1">
    <w:basedOn w:val="TableNormal5"/>
    <w:tblPr>
      <w:tblStyleRowBandSize w:val="1"/>
      <w:tblStyleColBandSize w:val="1"/>
      <w:tblCellMar>
        <w:top w:w="41.0" w:type="dxa"/>
        <w:left w:w="827.0" w:type="dxa"/>
        <w:bottom w:w="0.0" w:type="dxa"/>
        <w:right w:w="115.0" w:type="dxa"/>
      </w:tblCellMar>
    </w:tblPr>
  </w:style>
  <w:style w:type="table" w:styleId="aff1" w:customStyle="1">
    <w:basedOn w:val="TableNormal5"/>
    <w:tblPr>
      <w:tblStyleRowBandSize w:val="1"/>
      <w:tblStyleColBandSize w:val="1"/>
      <w:tblCellMar>
        <w:top w:w="41.0" w:type="dxa"/>
        <w:left w:w="827.0" w:type="dxa"/>
        <w:bottom w:w="0.0" w:type="dxa"/>
        <w:right w:w="115.0" w:type="dxa"/>
      </w:tblCellMar>
    </w:tblPr>
  </w:style>
  <w:style w:type="table" w:styleId="aff2" w:customStyle="1">
    <w:basedOn w:val="TableNormal5"/>
    <w:tblPr>
      <w:tblStyleRowBandSize w:val="1"/>
      <w:tblStyleColBandSize w:val="1"/>
      <w:tblCellMar>
        <w:top w:w="41.0" w:type="dxa"/>
        <w:left w:w="827.0" w:type="dxa"/>
        <w:bottom w:w="0.0" w:type="dxa"/>
        <w:right w:w="115.0" w:type="dxa"/>
      </w:tblCellMar>
    </w:tblPr>
  </w:style>
  <w:style w:type="table" w:styleId="aff3" w:customStyle="1">
    <w:basedOn w:val="TableNormal5"/>
    <w:tblPr>
      <w:tblStyleRowBandSize w:val="1"/>
      <w:tblStyleColBandSize w:val="1"/>
      <w:tblCellMar>
        <w:top w:w="41.0" w:type="dxa"/>
        <w:left w:w="827.0" w:type="dxa"/>
        <w:bottom w:w="0.0" w:type="dxa"/>
        <w:right w:w="115.0" w:type="dxa"/>
      </w:tblCellMar>
    </w:tblPr>
  </w:style>
  <w:style w:type="table" w:styleId="aff4" w:customStyle="1">
    <w:basedOn w:val="TableNormal5"/>
    <w:tblPr>
      <w:tblStyleRowBandSize w:val="1"/>
      <w:tblStyleColBandSize w:val="1"/>
      <w:tblCellMar>
        <w:top w:w="41.0" w:type="dxa"/>
        <w:left w:w="827.0" w:type="dxa"/>
        <w:bottom w:w="0.0" w:type="dxa"/>
        <w:right w:w="115.0" w:type="dxa"/>
      </w:tblCellMar>
    </w:tblPr>
  </w:style>
  <w:style w:type="table" w:styleId="aff5" w:customStyle="1">
    <w:basedOn w:val="TableNormal5"/>
    <w:tblPr>
      <w:tblStyleRowBandSize w:val="1"/>
      <w:tblStyleColBandSize w:val="1"/>
      <w:tblCellMar>
        <w:top w:w="41.0" w:type="dxa"/>
        <w:left w:w="827.0" w:type="dxa"/>
        <w:bottom w:w="0.0" w:type="dxa"/>
        <w:right w:w="115.0" w:type="dxa"/>
      </w:tblCellMar>
    </w:tblPr>
  </w:style>
  <w:style w:type="table" w:styleId="aff6" w:customStyle="1">
    <w:basedOn w:val="TableNormal5"/>
    <w:tblPr>
      <w:tblStyleRowBandSize w:val="1"/>
      <w:tblStyleColBandSize w:val="1"/>
      <w:tblCellMar>
        <w:top w:w="41.0" w:type="dxa"/>
        <w:left w:w="827.0" w:type="dxa"/>
        <w:bottom w:w="0.0" w:type="dxa"/>
        <w:right w:w="115.0" w:type="dxa"/>
      </w:tblCellMar>
    </w:tblPr>
  </w:style>
  <w:style w:type="table" w:styleId="aff7" w:customStyle="1">
    <w:basedOn w:val="TableNormal5"/>
    <w:tblPr>
      <w:tblStyleRowBandSize w:val="1"/>
      <w:tblStyleColBandSize w:val="1"/>
      <w:tblCellMar>
        <w:top w:w="41.0" w:type="dxa"/>
        <w:left w:w="827.0" w:type="dxa"/>
        <w:bottom w:w="0.0" w:type="dxa"/>
        <w:right w:w="115.0" w:type="dxa"/>
      </w:tblCellMar>
    </w:tblPr>
  </w:style>
  <w:style w:type="table" w:styleId="aff8" w:customStyle="1">
    <w:basedOn w:val="TableNormal5"/>
    <w:tblPr>
      <w:tblStyleRowBandSize w:val="1"/>
      <w:tblStyleColBandSize w:val="1"/>
      <w:tblCellMar>
        <w:top w:w="41.0" w:type="dxa"/>
        <w:left w:w="827.0" w:type="dxa"/>
        <w:bottom w:w="0.0" w:type="dxa"/>
        <w:right w:w="115.0" w:type="dxa"/>
      </w:tblCellMar>
    </w:tblPr>
  </w:style>
  <w:style w:type="table" w:styleId="aff9" w:customStyle="1">
    <w:basedOn w:val="TableNormal5"/>
    <w:tblPr>
      <w:tblStyleRowBandSize w:val="1"/>
      <w:tblStyleColBandSize w:val="1"/>
      <w:tblCellMar>
        <w:top w:w="41.0" w:type="dxa"/>
        <w:left w:w="827.0" w:type="dxa"/>
        <w:bottom w:w="0.0" w:type="dxa"/>
        <w:right w:w="115.0" w:type="dxa"/>
      </w:tblCellMar>
    </w:tblPr>
  </w:style>
  <w:style w:type="table" w:styleId="affa" w:customStyle="1">
    <w:basedOn w:val="TableNormal5"/>
    <w:tblPr>
      <w:tblStyleRowBandSize w:val="1"/>
      <w:tblStyleColBandSize w:val="1"/>
      <w:tblCellMar>
        <w:top w:w="41.0" w:type="dxa"/>
        <w:left w:w="827.0" w:type="dxa"/>
        <w:bottom w:w="0.0" w:type="dxa"/>
        <w:right w:w="115.0" w:type="dxa"/>
      </w:tblCellMar>
    </w:tblPr>
  </w:style>
  <w:style w:type="table" w:styleId="affb" w:customStyle="1">
    <w:basedOn w:val="TableNormal5"/>
    <w:tblPr>
      <w:tblStyleRowBandSize w:val="1"/>
      <w:tblStyleColBandSize w:val="1"/>
      <w:tblCellMar>
        <w:top w:w="41.0" w:type="dxa"/>
        <w:left w:w="827.0" w:type="dxa"/>
        <w:bottom w:w="0.0" w:type="dxa"/>
        <w:right w:w="115.0" w:type="dxa"/>
      </w:tblCellMar>
    </w:tblPr>
  </w:style>
  <w:style w:type="table" w:styleId="affc" w:customStyle="1">
    <w:basedOn w:val="TableNormal5"/>
    <w:tblPr>
      <w:tblStyleRowBandSize w:val="1"/>
      <w:tblStyleColBandSize w:val="1"/>
      <w:tblCellMar>
        <w:top w:w="41.0" w:type="dxa"/>
        <w:left w:w="827.0" w:type="dxa"/>
        <w:bottom w:w="0.0" w:type="dxa"/>
        <w:right w:w="115.0" w:type="dxa"/>
      </w:tblCellMar>
    </w:tblPr>
  </w:style>
  <w:style w:type="table" w:styleId="affd" w:customStyle="1">
    <w:basedOn w:val="TableNormal5"/>
    <w:tblPr>
      <w:tblStyleRowBandSize w:val="1"/>
      <w:tblStyleColBandSize w:val="1"/>
      <w:tblCellMar>
        <w:top w:w="41.0" w:type="dxa"/>
        <w:left w:w="827.0" w:type="dxa"/>
        <w:bottom w:w="0.0" w:type="dxa"/>
        <w:right w:w="115.0" w:type="dxa"/>
      </w:tblCellMar>
    </w:tblPr>
  </w:style>
  <w:style w:type="table" w:styleId="affe" w:customStyle="1">
    <w:basedOn w:val="TableNormal5"/>
    <w:tblPr>
      <w:tblStyleRowBandSize w:val="1"/>
      <w:tblStyleColBandSize w:val="1"/>
      <w:tblCellMar>
        <w:top w:w="41.0" w:type="dxa"/>
        <w:left w:w="827.0" w:type="dxa"/>
        <w:bottom w:w="0.0" w:type="dxa"/>
        <w:right w:w="115.0" w:type="dxa"/>
      </w:tblCellMar>
    </w:tblPr>
  </w:style>
  <w:style w:type="table" w:styleId="afff" w:customStyle="1">
    <w:basedOn w:val="TableNormal5"/>
    <w:tblPr>
      <w:tblStyleRowBandSize w:val="1"/>
      <w:tblStyleColBandSize w:val="1"/>
      <w:tblCellMar>
        <w:top w:w="41.0" w:type="dxa"/>
        <w:left w:w="827.0" w:type="dxa"/>
        <w:bottom w:w="0.0" w:type="dxa"/>
        <w:right w:w="115.0" w:type="dxa"/>
      </w:tblCellMar>
    </w:tblPr>
  </w:style>
  <w:style w:type="table" w:styleId="afff0" w:customStyle="1">
    <w:basedOn w:val="TableNormal5"/>
    <w:tblPr>
      <w:tblStyleRowBandSize w:val="1"/>
      <w:tblStyleColBandSize w:val="1"/>
      <w:tblCellMar>
        <w:top w:w="41.0" w:type="dxa"/>
        <w:left w:w="827.0" w:type="dxa"/>
        <w:bottom w:w="0.0" w:type="dxa"/>
        <w:right w:w="115.0" w:type="dxa"/>
      </w:tblCellMar>
    </w:tblPr>
  </w:style>
  <w:style w:type="table" w:styleId="afff1" w:customStyle="1">
    <w:basedOn w:val="TableNormal5"/>
    <w:tblPr>
      <w:tblStyleRowBandSize w:val="1"/>
      <w:tblStyleColBandSize w:val="1"/>
      <w:tblCellMar>
        <w:top w:w="41.0" w:type="dxa"/>
        <w:left w:w="827.0" w:type="dxa"/>
        <w:bottom w:w="0.0" w:type="dxa"/>
        <w:right w:w="115.0" w:type="dxa"/>
      </w:tblCellMar>
    </w:tblPr>
  </w:style>
  <w:style w:type="table" w:styleId="afff2" w:customStyle="1">
    <w:basedOn w:val="TableNormal5"/>
    <w:tblPr>
      <w:tblStyleRowBandSize w:val="1"/>
      <w:tblStyleColBandSize w:val="1"/>
      <w:tblCellMar>
        <w:top w:w="41.0" w:type="dxa"/>
        <w:left w:w="827.0" w:type="dxa"/>
        <w:bottom w:w="0.0" w:type="dxa"/>
        <w:right w:w="115.0" w:type="dxa"/>
      </w:tblCellMar>
    </w:tblPr>
  </w:style>
  <w:style w:type="table" w:styleId="afff3" w:customStyle="1">
    <w:basedOn w:val="TableNormal5"/>
    <w:tblPr>
      <w:tblStyleRowBandSize w:val="1"/>
      <w:tblStyleColBandSize w:val="1"/>
      <w:tblCellMar>
        <w:top w:w="41.0" w:type="dxa"/>
        <w:left w:w="827.0" w:type="dxa"/>
        <w:bottom w:w="0.0" w:type="dxa"/>
        <w:right w:w="115.0" w:type="dxa"/>
      </w:tblCellMar>
    </w:tblPr>
  </w:style>
  <w:style w:type="table" w:styleId="afff4" w:customStyle="1">
    <w:basedOn w:val="TableNormal5"/>
    <w:tblPr>
      <w:tblStyleRowBandSize w:val="1"/>
      <w:tblStyleColBandSize w:val="1"/>
      <w:tblCellMar>
        <w:top w:w="41.0" w:type="dxa"/>
        <w:left w:w="827.0" w:type="dxa"/>
        <w:bottom w:w="0.0" w:type="dxa"/>
        <w:right w:w="115.0" w:type="dxa"/>
      </w:tblCellMar>
    </w:tblPr>
  </w:style>
  <w:style w:type="table" w:styleId="afff5" w:customStyle="1">
    <w:basedOn w:val="TableNormal5"/>
    <w:tblPr>
      <w:tblStyleRowBandSize w:val="1"/>
      <w:tblStyleColBandSize w:val="1"/>
      <w:tblCellMar>
        <w:top w:w="41.0" w:type="dxa"/>
        <w:left w:w="827.0" w:type="dxa"/>
        <w:bottom w:w="0.0" w:type="dxa"/>
        <w:right w:w="115.0" w:type="dxa"/>
      </w:tblCellMar>
    </w:tblPr>
  </w:style>
  <w:style w:type="table" w:styleId="afff6" w:customStyle="1">
    <w:basedOn w:val="TableNormal5"/>
    <w:tblPr>
      <w:tblStyleRowBandSize w:val="1"/>
      <w:tblStyleColBandSize w:val="1"/>
      <w:tblCellMar>
        <w:top w:w="41.0" w:type="dxa"/>
        <w:left w:w="827.0" w:type="dxa"/>
        <w:bottom w:w="0.0" w:type="dxa"/>
        <w:right w:w="115.0" w:type="dxa"/>
      </w:tblCellMar>
    </w:tblPr>
  </w:style>
  <w:style w:type="table" w:styleId="afff7" w:customStyle="1">
    <w:basedOn w:val="TableNormal3"/>
    <w:tblPr>
      <w:tblStyleRowBandSize w:val="1"/>
      <w:tblStyleColBandSize w:val="1"/>
      <w:tblCellMar>
        <w:top w:w="41.0" w:type="dxa"/>
        <w:left w:w="827.0" w:type="dxa"/>
        <w:bottom w:w="0.0" w:type="dxa"/>
        <w:right w:w="115.0" w:type="dxa"/>
      </w:tblCellMar>
    </w:tblPr>
  </w:style>
  <w:style w:type="table" w:styleId="afff8" w:customStyle="1">
    <w:basedOn w:val="TableNormal3"/>
    <w:tblPr>
      <w:tblStyleRowBandSize w:val="1"/>
      <w:tblStyleColBandSize w:val="1"/>
      <w:tblCellMar>
        <w:top w:w="41.0" w:type="dxa"/>
        <w:left w:w="827.0" w:type="dxa"/>
        <w:bottom w:w="0.0" w:type="dxa"/>
        <w:right w:w="115.0" w:type="dxa"/>
      </w:tblCellMar>
    </w:tblPr>
  </w:style>
  <w:style w:type="table" w:styleId="afff9" w:customStyle="1">
    <w:basedOn w:val="TableNormal3"/>
    <w:tblPr>
      <w:tblStyleRowBandSize w:val="1"/>
      <w:tblStyleColBandSize w:val="1"/>
      <w:tblCellMar>
        <w:top w:w="41.0" w:type="dxa"/>
        <w:left w:w="827.0" w:type="dxa"/>
        <w:bottom w:w="0.0" w:type="dxa"/>
        <w:right w:w="115.0" w:type="dxa"/>
      </w:tblCellMar>
    </w:tblPr>
  </w:style>
  <w:style w:type="table" w:styleId="afffa" w:customStyle="1">
    <w:basedOn w:val="TableNormal3"/>
    <w:tblPr>
      <w:tblStyleRowBandSize w:val="1"/>
      <w:tblStyleColBandSize w:val="1"/>
      <w:tblCellMar>
        <w:top w:w="41.0" w:type="dxa"/>
        <w:left w:w="827.0" w:type="dxa"/>
        <w:bottom w:w="0.0" w:type="dxa"/>
        <w:right w:w="115.0" w:type="dxa"/>
      </w:tblCellMar>
    </w:tblPr>
  </w:style>
  <w:style w:type="table" w:styleId="afffb" w:customStyle="1">
    <w:basedOn w:val="TableNormal3"/>
    <w:tblPr>
      <w:tblStyleRowBandSize w:val="1"/>
      <w:tblStyleColBandSize w:val="1"/>
      <w:tblCellMar>
        <w:top w:w="41.0" w:type="dxa"/>
        <w:left w:w="827.0" w:type="dxa"/>
        <w:bottom w:w="0.0" w:type="dxa"/>
        <w:right w:w="115.0" w:type="dxa"/>
      </w:tblCellMar>
    </w:tblPr>
  </w:style>
  <w:style w:type="table" w:styleId="afffc" w:customStyle="1">
    <w:basedOn w:val="TableNormal3"/>
    <w:tblPr>
      <w:tblStyleRowBandSize w:val="1"/>
      <w:tblStyleColBandSize w:val="1"/>
      <w:tblCellMar>
        <w:top w:w="41.0" w:type="dxa"/>
        <w:left w:w="827.0" w:type="dxa"/>
        <w:bottom w:w="0.0" w:type="dxa"/>
        <w:right w:w="115.0" w:type="dxa"/>
      </w:tblCellMar>
    </w:tblPr>
  </w:style>
  <w:style w:type="table" w:styleId="afffd" w:customStyle="1">
    <w:basedOn w:val="TableNormal3"/>
    <w:tblPr>
      <w:tblStyleRowBandSize w:val="1"/>
      <w:tblStyleColBandSize w:val="1"/>
      <w:tblCellMar>
        <w:top w:w="41.0" w:type="dxa"/>
        <w:left w:w="827.0" w:type="dxa"/>
        <w:bottom w:w="0.0" w:type="dxa"/>
        <w:right w:w="115.0" w:type="dxa"/>
      </w:tblCellMar>
    </w:tblPr>
  </w:style>
  <w:style w:type="table" w:styleId="afffe" w:customStyle="1">
    <w:basedOn w:val="TableNormal3"/>
    <w:tblPr>
      <w:tblStyleRowBandSize w:val="1"/>
      <w:tblStyleColBandSize w:val="1"/>
      <w:tblCellMar>
        <w:top w:w="41.0" w:type="dxa"/>
        <w:left w:w="827.0" w:type="dxa"/>
        <w:bottom w:w="0.0" w:type="dxa"/>
        <w:right w:w="115.0" w:type="dxa"/>
      </w:tblCellMar>
    </w:tblPr>
  </w:style>
  <w:style w:type="table" w:styleId="affff" w:customStyle="1">
    <w:basedOn w:val="TableNormal3"/>
    <w:tblPr>
      <w:tblStyleRowBandSize w:val="1"/>
      <w:tblStyleColBandSize w:val="1"/>
      <w:tblCellMar>
        <w:top w:w="41.0" w:type="dxa"/>
        <w:left w:w="827.0" w:type="dxa"/>
        <w:bottom w:w="0.0" w:type="dxa"/>
        <w:right w:w="115.0" w:type="dxa"/>
      </w:tblCellMar>
    </w:tblPr>
  </w:style>
  <w:style w:type="table" w:styleId="affff0" w:customStyle="1">
    <w:basedOn w:val="TableNormal3"/>
    <w:tblPr>
      <w:tblStyleRowBandSize w:val="1"/>
      <w:tblStyleColBandSize w:val="1"/>
      <w:tblCellMar>
        <w:top w:w="41.0" w:type="dxa"/>
        <w:left w:w="827.0" w:type="dxa"/>
        <w:bottom w:w="0.0" w:type="dxa"/>
        <w:right w:w="115.0" w:type="dxa"/>
      </w:tblCellMar>
    </w:tblPr>
  </w:style>
  <w:style w:type="table" w:styleId="affff1" w:customStyle="1">
    <w:basedOn w:val="TableNormal3"/>
    <w:tblPr>
      <w:tblStyleRowBandSize w:val="1"/>
      <w:tblStyleColBandSize w:val="1"/>
      <w:tblCellMar>
        <w:top w:w="41.0" w:type="dxa"/>
        <w:left w:w="827.0" w:type="dxa"/>
        <w:bottom w:w="0.0" w:type="dxa"/>
        <w:right w:w="115.0" w:type="dxa"/>
      </w:tblCellMar>
    </w:tblPr>
  </w:style>
  <w:style w:type="table" w:styleId="affff2" w:customStyle="1">
    <w:basedOn w:val="TableNormal3"/>
    <w:tblPr>
      <w:tblStyleRowBandSize w:val="1"/>
      <w:tblStyleColBandSize w:val="1"/>
      <w:tblCellMar>
        <w:top w:w="41.0" w:type="dxa"/>
        <w:left w:w="827.0" w:type="dxa"/>
        <w:bottom w:w="0.0" w:type="dxa"/>
        <w:right w:w="115.0" w:type="dxa"/>
      </w:tblCellMar>
    </w:tblPr>
  </w:style>
  <w:style w:type="table" w:styleId="affff3" w:customStyle="1">
    <w:basedOn w:val="TableNormal3"/>
    <w:tblPr>
      <w:tblStyleRowBandSize w:val="1"/>
      <w:tblStyleColBandSize w:val="1"/>
      <w:tblCellMar>
        <w:top w:w="41.0" w:type="dxa"/>
        <w:left w:w="827.0" w:type="dxa"/>
        <w:bottom w:w="0.0" w:type="dxa"/>
        <w:right w:w="115.0" w:type="dxa"/>
      </w:tblCellMar>
    </w:tblPr>
  </w:style>
  <w:style w:type="table" w:styleId="affff4" w:customStyle="1">
    <w:basedOn w:val="TableNormal3"/>
    <w:tblPr>
      <w:tblStyleRowBandSize w:val="1"/>
      <w:tblStyleColBandSize w:val="1"/>
      <w:tblCellMar>
        <w:top w:w="41.0" w:type="dxa"/>
        <w:left w:w="827.0" w:type="dxa"/>
        <w:bottom w:w="0.0" w:type="dxa"/>
        <w:right w:w="115.0" w:type="dxa"/>
      </w:tblCellMar>
    </w:tblPr>
  </w:style>
  <w:style w:type="paragraph" w:styleId="NormalWeb">
    <w:name w:val="Normal (Web)"/>
    <w:basedOn w:val="Normal"/>
    <w:uiPriority w:val="99"/>
    <w:unhideWhenUsed w:val="1"/>
    <w:rsid w:val="00195077"/>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yperlink" Target="https://sanantoniolaisla.gob.mx/transparencia-proactiv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3vEQD+MBC3LOg3IdnenfJdVZ9A==">CgMxLjAyCWguMzBqMHpsbDIJaC4xZm9iOXRlOAByITEwTUdwc3Y5NGJjWDlPd0xJSTIyMXFUSFVLU1FqQ3ZQTQ==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2023-07-10T20:15:00Z</dcterms:created>
  <dc:creator>Jonathan Guillermo Munoz Acevedo</dc:creator>
</cp:coreProperties>
</file>