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910"/>
        <w:gridCol w:w="2265"/>
        <w:tblGridChange w:id="0">
          <w:tblGrid>
            <w:gridCol w:w="4905"/>
            <w:gridCol w:w="2910"/>
            <w:gridCol w:w="226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636906" cy="1645249"/>
                  <wp:effectExtent b="0" l="0" r="0" t="0"/>
                  <wp:docPr id="294" name="image3.png"/>
                  <a:graphic>
                    <a:graphicData uri="http://schemas.openxmlformats.org/drawingml/2006/picture">
                      <pic:pic>
                        <pic:nvPicPr>
                          <pic:cNvPr id="0" name="image3.png"/>
                          <pic:cNvPicPr preferRelativeResize="0"/>
                        </pic:nvPicPr>
                        <pic:blipFill>
                          <a:blip r:embed="rId7"/>
                          <a:srcRect b="4239" l="13088" r="14892" t="15972"/>
                          <a:stretch>
                            <a:fillRect/>
                          </a:stretch>
                        </pic:blipFill>
                        <pic:spPr>
                          <a:xfrm>
                            <a:off x="0" y="0"/>
                            <a:ext cx="2636906" cy="1645249"/>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12" w:right="0" w:firstLine="1612"/>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Micrositio de la Política Estatal Anticorrupción </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Secretaría Ejecutiva del Sistema Estatal Anticorrupción </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Dirección General de Políticas Públicas y Riesgos en Materia Anticorrupción </w:t>
            </w: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https://sesaemm.gob.mx/pea/</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3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202</w:t>
            </w:r>
            <w:r w:rsidDel="00000000" w:rsidR="00000000" w:rsidRPr="00000000">
              <w:rPr>
                <w:rFonts w:ascii="Palatino Linotype" w:cs="Palatino Linotype" w:eastAsia="Palatino Linotype" w:hAnsi="Palatino Linotype"/>
                <w:rtl w:val="0"/>
              </w:rPr>
              <w:t xml:space="preserve">1</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vigente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Estatal </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Estado de México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4</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6 </w:t>
            </w:r>
            <w:r w:rsidDel="00000000" w:rsidR="00000000" w:rsidRPr="00000000">
              <w:rPr>
                <w:rtl w:val="0"/>
              </w:rPr>
            </w:r>
          </w:p>
        </w:tc>
      </w:tr>
    </w:tbl>
    <w:p w:rsidR="00000000" w:rsidDel="00000000" w:rsidP="00000000" w:rsidRDefault="00000000" w:rsidRPr="00000000" w14:paraId="0000001A">
      <w:pPr>
        <w:spacing w:after="0" w:lineRule="auto"/>
        <w:jc w:val="center"/>
        <w:rPr>
          <w:rFonts w:ascii="Palatino Linotype" w:cs="Palatino Linotype" w:eastAsia="Palatino Linotype" w:hAnsi="Palatino Linotype"/>
          <w:b w:val="1"/>
          <w:sz w:val="20"/>
          <w:szCs w:val="20"/>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5130"/>
        <w:gridCol w:w="4875"/>
        <w:tblGridChange w:id="0">
          <w:tblGrid>
            <w:gridCol w:w="5130"/>
            <w:gridCol w:w="487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Es un micrositio que proporciona información relacionada al fenómeno de la corrupción  y lo relacionado con la Política Estatal Anticorrupción, a través de una herramienta visual que facilita la comprensión del procedimiento de la PEA.</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Proporcionar información relacionada al fenómeno de la corrupción, a través de una herramienta audiovisual que facilita la comprensión del procedimiento de la PEA, considerando audio para apoyar a las personas con debilidad visual y la traducción en lenguas nativas.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con la intención de mostrar de manera ordenada lo relacionado a la Política Estatal Anticorrupción, en cada una de las etapas y dirigida principalmente a la población mexiquense.</w:t>
            </w:r>
          </w:p>
        </w:tc>
      </w:tr>
      <w:tr>
        <w:trPr>
          <w:cantSplit w:val="0"/>
          <w:trHeight w:val="120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Fomenta la inclusión de grupos originarios, mantiene informada a la sociedad mexiquense, promueve la implementación de proyectos anticorrupción y genera estudios especializados de interés público.</w:t>
            </w:r>
            <w:r w:rsidDel="00000000" w:rsidR="00000000" w:rsidRPr="00000000">
              <w:rPr>
                <w:rtl w:val="0"/>
              </w:rPr>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8">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rendición de cuentas.</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tabs>
                <w:tab w:val="center" w:leader="none" w:pos="4419"/>
                <w:tab w:val="right" w:leader="none" w:pos="8838"/>
              </w:tabs>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A">
            <w:pPr>
              <w:tabs>
                <w:tab w:val="center" w:leader="none" w:pos="4419"/>
                <w:tab w:val="right" w:leader="none" w:pos="8838"/>
              </w:tabs>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el atributo de calidad de la información de datos abiertos, así como tampoco la </w:t>
            </w:r>
            <w:r w:rsidDel="00000000" w:rsidR="00000000" w:rsidRPr="00000000">
              <w:rPr>
                <w:rFonts w:ascii="Palatino Linotype" w:cs="Palatino Linotype" w:eastAsia="Palatino Linotype" w:hAnsi="Palatino Linotype"/>
                <w:color w:val="1f1f1f"/>
                <w:highlight w:val="white"/>
                <w:rtl w:val="0"/>
              </w:rPr>
              <w:t xml:space="preserve">contabilización de consultas o reutilización de la información en medios de difusión y el aprovechamiento de los mecanismos de participación ciudadana para la mejora de la publicación.</w:t>
            </w:r>
            <w:r w:rsidDel="00000000" w:rsidR="00000000" w:rsidRPr="00000000">
              <w:rPr>
                <w:rtl w:val="0"/>
              </w:rPr>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tabs>
                <w:tab w:val="center" w:leader="none" w:pos="4419"/>
                <w:tab w:val="right" w:leader="none" w:pos="8838"/>
              </w:tabs>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w:t>
            </w:r>
          </w:p>
          <w:p w:rsidR="00000000" w:rsidDel="00000000" w:rsidP="00000000" w:rsidRDefault="00000000" w:rsidRPr="00000000" w14:paraId="0000002D">
            <w:pPr>
              <w:tabs>
                <w:tab w:val="center" w:leader="none" w:pos="4419"/>
                <w:tab w:val="right" w:leader="none" w:pos="8838"/>
              </w:tabs>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Se sugiere al Sujeto Obligado atender las observaciones anteriormente citadas y</w:t>
            </w:r>
            <w:r w:rsidDel="00000000" w:rsidR="00000000" w:rsidRPr="00000000">
              <w:rPr>
                <w:rFonts w:ascii="Palatino Linotype" w:cs="Palatino Linotype" w:eastAsia="Palatino Linotype" w:hAnsi="Palatino Linotype"/>
                <w:color w:val="1f1f1f"/>
                <w:highlight w:val="white"/>
                <w:rtl w:val="0"/>
              </w:rPr>
              <w:t xml:space="preserve"> utilizar medios de difusión alternos a una página de internet, así como reportar o emplear los efectos positivos generados a partir de la información difundida.</w:t>
            </w:r>
            <w:r w:rsidDel="00000000" w:rsidR="00000000" w:rsidRPr="00000000">
              <w:rPr>
                <w:rtl w:val="0"/>
              </w:rPr>
            </w:r>
          </w:p>
        </w:tc>
      </w:tr>
    </w:tbl>
    <w:p w:rsidR="00000000" w:rsidDel="00000000" w:rsidP="00000000" w:rsidRDefault="00000000" w:rsidRPr="00000000" w14:paraId="0000002F">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-1137283</wp:posOffset>
          </wp:positionH>
          <wp:positionV relativeFrom="paragraph">
            <wp:posOffset>-1177288</wp:posOffset>
          </wp:positionV>
          <wp:extent cx="8210550" cy="2508250"/>
          <wp:effectExtent b="0" l="0" r="0" t="0"/>
          <wp:wrapNone/>
          <wp:docPr id="292" name="image1.jpg"/>
          <a:graphic>
            <a:graphicData uri="http://schemas.openxmlformats.org/drawingml/2006/picture">
              <pic:pic>
                <pic:nvPicPr>
                  <pic:cNvPr id="0" name="image1.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2">
    <w:pPr>
      <w:tabs>
        <w:tab w:val="center" w:leader="none" w:pos="4419"/>
        <w:tab w:val="right" w:leader="none" w:pos="8838"/>
      </w:tabs>
      <w:spacing w:after="0" w:lineRule="auto"/>
      <w:jc w:val="center"/>
      <w:rPr>
        <w:rFonts w:ascii="Palatino Linotype" w:cs="Palatino Linotype" w:eastAsia="Palatino Linotype" w:hAnsi="Palatino Linotype"/>
        <w:b w:val="1"/>
        <w:sz w:val="20"/>
        <w:szCs w:val="20"/>
      </w:rPr>
    </w:pPr>
    <w:bookmarkStart w:colFirst="0" w:colLast="0" w:name="_heading=h.30j0zll" w:id="0"/>
    <w:bookmarkEnd w:id="0"/>
    <w:r w:rsidDel="00000000" w:rsidR="00000000" w:rsidRPr="00000000">
      <w:rPr>
        <w:rtl w:val="0"/>
      </w:rPr>
    </w:r>
  </w:p>
  <w:p w:rsidR="00000000" w:rsidDel="00000000" w:rsidP="00000000" w:rsidRDefault="00000000" w:rsidRPr="00000000" w14:paraId="00000033">
    <w:pPr>
      <w:tabs>
        <w:tab w:val="center" w:leader="none" w:pos="4419"/>
        <w:tab w:val="right" w:leader="none" w:pos="8838"/>
      </w:tabs>
      <w:jc w:val="both"/>
      <w:rPr>
        <w:rFonts w:ascii="Palatino Linotype" w:cs="Palatino Linotype" w:eastAsia="Palatino Linotype" w:hAnsi="Palatino Linotype"/>
        <w:b w:val="1"/>
      </w:rPr>
    </w:pPr>
    <w:bookmarkStart w:colFirst="0" w:colLast="0" w:name="_heading=h.1fob9te" w:id="1"/>
    <w:bookmarkEnd w:id="1"/>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293"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1" l="27474" r="25000" t="5797"/>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-1315083</wp:posOffset>
          </wp:positionV>
          <wp:extent cx="7808595" cy="9436100"/>
          <wp:effectExtent b="0" l="0" r="0" t="0"/>
          <wp:wrapNone/>
          <wp:docPr id="291" name="image1.jpg"/>
          <a:graphic>
            <a:graphicData uri="http://schemas.openxmlformats.org/drawingml/2006/picture">
              <pic:pic>
                <pic:nvPicPr>
                  <pic:cNvPr id="0" name="image1.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sesaemm.gob.mx/pe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8gzVny+5KeT7WdoSb94QaxhUgw==">CgMxLjAyCWguMzBqMHpsbDIJaC4xZm9iOXRlMgloLjMwajB6bGwyCWguMWZvYjl0ZTgAciExNnY3TDFHdURHMU9yV084dWphb3pfempUdm93MzhNMGo=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