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5.0" w:type="dxa"/>
        <w:jc w:val="left"/>
        <w:tblInd w:w="-645.0" w:type="dxa"/>
        <w:tblLayout w:type="fixed"/>
        <w:tblLook w:val="0400"/>
      </w:tblPr>
      <w:tblGrid>
        <w:gridCol w:w="4905"/>
        <w:gridCol w:w="2760"/>
        <w:gridCol w:w="2220"/>
        <w:tblGridChange w:id="0">
          <w:tblGrid>
            <w:gridCol w:w="4905"/>
            <w:gridCol w:w="2760"/>
            <w:gridCol w:w="2220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83.46456692913375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2600582" cy="2186147"/>
                  <wp:effectExtent b="0" l="0" r="0" t="0"/>
                  <wp:docPr id="29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3816" l="20768" r="18584" t="6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82" cy="21861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612" w:right="0" w:firstLine="1612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Jornadas Médico Asistenciales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Sistema Municipal para el Desarrollo Integral de la Familia Metepec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Municipal de Salud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sz w:val="20"/>
                  <w:szCs w:val="20"/>
                  <w:u w:val="single"/>
                  <w:rtl w:val="0"/>
                </w:rPr>
                <w:t xml:space="preserve">Servicios - DIF (difmetepec.com)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2022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Metepec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center"/>
        <w:rPr>
          <w:rFonts w:ascii="Palatino Linotype" w:cs="Palatino Linotype" w:eastAsia="Palatino Linotype" w:hAnsi="Palatino Linotype"/>
          <w:b w:val="1"/>
          <w:sz w:val="18"/>
          <w:szCs w:val="18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9825.0" w:type="dxa"/>
        <w:jc w:val="left"/>
        <w:tblInd w:w="-572.0" w:type="dxa"/>
        <w:tblLayout w:type="fixed"/>
        <w:tblLook w:val="0400"/>
      </w:tblPr>
      <w:tblGrid>
        <w:gridCol w:w="4650"/>
        <w:gridCol w:w="5175"/>
        <w:tblGridChange w:id="0">
          <w:tblGrid>
            <w:gridCol w:w="4650"/>
            <w:gridCol w:w="5175"/>
          </w:tblGrid>
        </w:tblGridChange>
      </w:tblGrid>
      <w:tr>
        <w:trPr>
          <w:cantSplit w:val="0"/>
          <w:trHeight w:val="11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informa de las Jornadas de Salud que brindan servicios de consultas médicas, atención odontológica, valoración optométrica, masoterapia, servicios preventivos de salud, atención podológica, consultas  nutricionales y pláticas con temas de relevancia en el ámbito de la salud. </w:t>
            </w:r>
          </w:p>
        </w:tc>
      </w:tr>
      <w:tr>
        <w:trPr>
          <w:cantSplit w:val="0"/>
          <w:trHeight w:val="15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Que la ciudadanía goce de un buen estado de  salud, por ello la prevención y detección oportuna de alguna enfermedad es clave para cuidar del  bienestar de la gente.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Por la necesidad de acercar los servicios del DIF a las comunidades.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atendieron a 5,014 mujeres, hombres y niños en temas de salud.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¿Cómo contribuye a la apertura gubernamental?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Mejora el acceso a trámites y servicios. 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no cuenta con los elementos suficientes para considerarse una Práctica de Transparencia Proactiva, ya que es solo una galería fotográfica y no genera información adicional por ende no se permite evaluar los criterios, establecidos en la normatividad vigente.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Recomendación: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sugiere al Sujeto Obligado adicionar contenido a este formato, considerando la demanda de información de un sector específico de la población, integrar los atributos de calidad,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 o reutilización de la información en medios de difusión,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participación ciudadana efectiva, utilizar medios de difusión alternos a una página de internet, así como los efectos positivos generados a partir de la información difundida.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-1137283</wp:posOffset>
          </wp:positionH>
          <wp:positionV relativeFrom="paragraph">
            <wp:posOffset>-1177288</wp:posOffset>
          </wp:positionV>
          <wp:extent cx="8210550" cy="2508250"/>
          <wp:effectExtent b="0" l="0" r="0" t="0"/>
          <wp:wrapNone/>
          <wp:docPr id="29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-949" l="0" r="0" t="45574"/>
                  <a:stretch>
                    <a:fillRect/>
                  </a:stretch>
                </pic:blipFill>
                <pic:spPr>
                  <a:xfrm>
                    <a:off x="0" y="0"/>
                    <a:ext cx="8210550" cy="2508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294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61" l="27474" r="25000" t="5797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-1080133</wp:posOffset>
          </wp:positionH>
          <wp:positionV relativeFrom="paragraph">
            <wp:posOffset>-1315083</wp:posOffset>
          </wp:positionV>
          <wp:extent cx="7808595" cy="9436100"/>
          <wp:effectExtent b="0" l="0" r="0" t="0"/>
          <wp:wrapNone/>
          <wp:docPr id="29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6051"/>
                  <a:stretch>
                    <a:fillRect/>
                  </a:stretch>
                </pic:blipFill>
                <pic:spPr>
                  <a:xfrm rot="10800000">
                    <a:off x="0" y="0"/>
                    <a:ext cx="7808595" cy="9436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difmetepec.com/servicios/#calsalu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x1gJSCrLgIx+YAMlAumNTfhUkQ==">CgMxLjAyCWguMzBqMHpsbDIJaC4xZm9iOXRlOAByITFnYk55RTMtY210ck1nVnplSWF2RF9kMURHaFNzejF3aA==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