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DB" w:rsidRPr="00202FDB" w:rsidRDefault="009C768F" w:rsidP="00202FDB">
      <w:pPr>
        <w:jc w:val="right"/>
        <w:rPr>
          <w:rFonts w:ascii="Palatino Linotype" w:hAnsi="Palatino Linotype"/>
          <w:bCs/>
          <w:sz w:val="20"/>
          <w:szCs w:val="20"/>
        </w:rPr>
      </w:pPr>
      <w:bookmarkStart w:id="0" w:name="_GoBack"/>
      <w:bookmarkEnd w:id="0"/>
      <w:r w:rsidRPr="00202FDB">
        <w:rPr>
          <w:rFonts w:ascii="Palatino Linotype" w:hAnsi="Palatino Linotype"/>
          <w:b/>
          <w:bCs/>
          <w:sz w:val="20"/>
          <w:szCs w:val="20"/>
        </w:rPr>
        <w:t>Asunto:</w:t>
      </w:r>
      <w:r w:rsidR="004467FE" w:rsidRPr="00202FDB">
        <w:rPr>
          <w:rFonts w:ascii="Palatino Linotype" w:hAnsi="Palatino Linotype"/>
          <w:bCs/>
          <w:sz w:val="20"/>
          <w:szCs w:val="20"/>
        </w:rPr>
        <w:t xml:space="preserve"> Modelo Regional de Transparencia Municipal.</w:t>
      </w:r>
    </w:p>
    <w:p w:rsidR="003F479D" w:rsidRPr="00202FDB" w:rsidRDefault="003F479D" w:rsidP="00202FDB">
      <w:pPr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</w:p>
    <w:p w:rsidR="00202FDB" w:rsidRPr="00202FDB" w:rsidRDefault="00202FDB" w:rsidP="00202FDB">
      <w:p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bookmarkStart w:id="1" w:name="_Hlk93307200"/>
      <w:r w:rsidRPr="00202FDB">
        <w:rPr>
          <w:rFonts w:ascii="Palatino Linotype" w:eastAsia="Palatino Linotype" w:hAnsi="Palatino Linotype" w:cs="Palatino Linotype"/>
          <w:sz w:val="20"/>
          <w:szCs w:val="20"/>
        </w:rPr>
        <w:t>El Instituto de Transparencia, Acceso a la Información Pública y Protección de Datos Personales del Estado de México y Municipios (</w:t>
      </w:r>
      <w:proofErr w:type="spellStart"/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Infoem</w:t>
      </w:r>
      <w:proofErr w:type="spellEnd"/>
      <w:r w:rsidRPr="00202FDB">
        <w:rPr>
          <w:rFonts w:ascii="Palatino Linotype" w:eastAsia="Palatino Linotype" w:hAnsi="Palatino Linotype" w:cs="Palatino Linotype"/>
          <w:sz w:val="20"/>
          <w:szCs w:val="20"/>
        </w:rPr>
        <w:t>), en integrante del Grupo de Transparencia por diseño de la</w:t>
      </w: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Red de Transparencia y Acceso a la Información (RTA)</w:t>
      </w:r>
      <w:r w:rsidRPr="00202FDB">
        <w:rPr>
          <w:rFonts w:ascii="Palatino Linotype" w:eastAsia="Palatino Linotype" w:hAnsi="Palatino Linotype" w:cs="Palatino Linotype"/>
          <w:sz w:val="20"/>
          <w:szCs w:val="20"/>
        </w:rPr>
        <w:t xml:space="preserve">, el cual busca transitar del ejercicio del derecho de acceso a la información pública a la implementación de procesos apoyados en las tecnologías de la información para construir gobiernos 100% transparentes y facilitar así la participación ciudadana en la sociedad del conocimiento. </w:t>
      </w:r>
    </w:p>
    <w:p w:rsidR="00202FDB" w:rsidRDefault="00202FDB" w:rsidP="00202FDB">
      <w:pPr>
        <w:tabs>
          <w:tab w:val="left" w:pos="5025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202FDB">
        <w:rPr>
          <w:rFonts w:ascii="Palatino Linotype" w:hAnsi="Palatino Linotype"/>
          <w:bCs/>
          <w:sz w:val="20"/>
          <w:szCs w:val="20"/>
        </w:rPr>
        <w:t xml:space="preserve">En fecha 27 de septiembre de 2021, se convocó a los Integrantes del grupo Transparencia Municipal de la RTA, para iniciar los trabajos relacionados con el proyecto para el diseño y desarrollo del Modelo regional de transparencia municipal para la RTA. Proyecto encabezado por la consultoría de </w:t>
      </w:r>
      <w:proofErr w:type="spellStart"/>
      <w:r w:rsidRPr="00202FDB">
        <w:rPr>
          <w:rFonts w:ascii="Palatino Linotype" w:hAnsi="Palatino Linotype"/>
          <w:bCs/>
          <w:sz w:val="20"/>
          <w:szCs w:val="20"/>
        </w:rPr>
        <w:t>EurosociAL</w:t>
      </w:r>
      <w:proofErr w:type="spellEnd"/>
      <w:r w:rsidRPr="00202FDB">
        <w:rPr>
          <w:rFonts w:ascii="Palatino Linotype" w:hAnsi="Palatino Linotype"/>
          <w:bCs/>
          <w:sz w:val="20"/>
          <w:szCs w:val="20"/>
        </w:rPr>
        <w:t>+, el cual tiene por objeto mejorar los niveles de transparencia y acceso a la información pública en los municipios de América.</w:t>
      </w:r>
    </w:p>
    <w:p w:rsidR="00202FDB" w:rsidRPr="00202FDB" w:rsidRDefault="00202FDB" w:rsidP="00202FDB">
      <w:pPr>
        <w:tabs>
          <w:tab w:val="left" w:pos="5025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</w:p>
    <w:p w:rsidR="00202FDB" w:rsidRPr="00202FDB" w:rsidRDefault="00202FDB" w:rsidP="00202FDB">
      <w:pPr>
        <w:tabs>
          <w:tab w:val="left" w:pos="5025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202FDB">
        <w:rPr>
          <w:rFonts w:ascii="Palatino Linotype" w:hAnsi="Palatino Linotype"/>
          <w:bCs/>
          <w:sz w:val="20"/>
          <w:szCs w:val="20"/>
        </w:rPr>
        <w:t>Los objetivos específicos del proyecto radican en socializar los modelos de gestión de transparencia para el grupo de trabajo, diagnosticar los niveles de cumplimiento e instalación de los mecanismos de transparencia y derecho de acceso a la información en el sector municipal, como herramienta de transferencia de conocimiento a nivel latinoamericano. Trabajando de la mano con países como Argentina, Ecuador, Guatemala, Paraguay y Perú.</w:t>
      </w:r>
    </w:p>
    <w:p w:rsidR="00202FDB" w:rsidRDefault="00202FDB" w:rsidP="00202FDB">
      <w:pPr>
        <w:tabs>
          <w:tab w:val="left" w:pos="5025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202FDB">
        <w:rPr>
          <w:rFonts w:ascii="Palatino Linotype" w:hAnsi="Palatino Linotype"/>
          <w:bCs/>
          <w:sz w:val="20"/>
          <w:szCs w:val="20"/>
        </w:rPr>
        <w:lastRenderedPageBreak/>
        <w:t>Posteriormente, en fecha 12 de noviembre de 2021, se efectuó la reunión con la consultoría, derivándose en la elaboración de una propuesta de municipios considerando aspectos culturales, sociales y económicos, a fin de contar un con una muestra integral de los municipios que conforman el estado de México; estableciéndose el 30% de los 125 municipios del Estado de México.</w:t>
      </w:r>
    </w:p>
    <w:p w:rsidR="00202FDB" w:rsidRPr="00202FDB" w:rsidRDefault="00202FDB" w:rsidP="00202FDB">
      <w:pPr>
        <w:tabs>
          <w:tab w:val="left" w:pos="5025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</w:p>
    <w:p w:rsidR="00202FDB" w:rsidRDefault="00202FDB" w:rsidP="00202FDB">
      <w:pPr>
        <w:tabs>
          <w:tab w:val="left" w:pos="5025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202FDB">
        <w:rPr>
          <w:rFonts w:ascii="Palatino Linotype" w:hAnsi="Palatino Linotype"/>
          <w:bCs/>
          <w:sz w:val="20"/>
          <w:szCs w:val="20"/>
        </w:rPr>
        <w:t>Vinculado a ello, después de 7 reuniones de trabajo, desde septiembre hasta diciembre de 2021, se remitió el instrumento y el diagnóstico municipal a la muestra representativa de municipios, asimismo, para su seguimiento se asistió a 5 talleres de trabajo, en el mes de enero de 2022.</w:t>
      </w:r>
    </w:p>
    <w:p w:rsidR="00202FDB" w:rsidRPr="00202FDB" w:rsidRDefault="00202FDB" w:rsidP="00202FDB">
      <w:pPr>
        <w:tabs>
          <w:tab w:val="left" w:pos="5025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</w:p>
    <w:p w:rsidR="00202FDB" w:rsidRDefault="00202FDB" w:rsidP="00202FDB">
      <w:pPr>
        <w:tabs>
          <w:tab w:val="left" w:pos="5025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202FDB">
        <w:rPr>
          <w:rFonts w:ascii="Palatino Linotype" w:hAnsi="Palatino Linotype"/>
          <w:bCs/>
          <w:sz w:val="20"/>
          <w:szCs w:val="20"/>
        </w:rPr>
        <w:t xml:space="preserve">Es así que, el 15 de marzo de 2022 tuvo verificativo la reunión de revisión del proyecto, a fin de llevarse a cabo el Lanzamiento del Modelo Regional de Transparencia Municipal el 26 de abril del año en curso en Santiago de Chile, y con ello ejecutar la implementación en las municipalidades de los países participantes. </w:t>
      </w:r>
    </w:p>
    <w:p w:rsidR="00202FDB" w:rsidRPr="00202FDB" w:rsidRDefault="00202FDB" w:rsidP="00202FDB">
      <w:pPr>
        <w:tabs>
          <w:tab w:val="left" w:pos="5025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</w:p>
    <w:p w:rsidR="003B48E2" w:rsidRPr="00202FDB" w:rsidRDefault="00202FDB" w:rsidP="00202FDB">
      <w:p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El</w:t>
      </w:r>
      <w:r w:rsidR="00753CAA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Modelo</w:t>
      </w:r>
      <w:r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Regional de Transparencia Municipal,</w:t>
      </w:r>
      <w:r w:rsidR="00753CAA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s</w:t>
      </w:r>
      <w:r w:rsidR="00081F23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e </w:t>
      </w:r>
      <w:r w:rsidR="009964A4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conforma de las</w:t>
      </w:r>
      <w:r w:rsidR="00081F23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</w:t>
      </w:r>
      <w:r w:rsidR="00672F7D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dimensiones</w:t>
      </w:r>
      <w:r w:rsidR="00081F23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</w:t>
      </w:r>
      <w:r w:rsidR="009964A4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de </w:t>
      </w:r>
      <w:r w:rsidR="00081F23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estrategia, </w:t>
      </w:r>
      <w:r w:rsidR="00672F7D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recursos, procesos, ciudadanía y mejora continua</w:t>
      </w:r>
      <w:r w:rsidR="001768A1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, las cuales versan de manera general en</w:t>
      </w:r>
      <w:r w:rsidR="003B48E2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:</w:t>
      </w:r>
    </w:p>
    <w:p w:rsidR="003B48E2" w:rsidRPr="00202FDB" w:rsidRDefault="001768A1" w:rsidP="00202FDB">
      <w:pPr>
        <w:pStyle w:val="Prrafodelista"/>
        <w:numPr>
          <w:ilvl w:val="0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Estrategia</w:t>
      </w:r>
      <w:r w:rsidR="009964A4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3B48E2" w:rsidRPr="00202FDB">
        <w:rPr>
          <w:rFonts w:ascii="Palatino Linotype" w:hAnsi="Palatino Linotype"/>
          <w:sz w:val="20"/>
          <w:szCs w:val="20"/>
        </w:rPr>
        <w:t xml:space="preserve">guía el actuar de </w:t>
      </w:r>
      <w:r w:rsidR="009964A4" w:rsidRPr="00202FDB">
        <w:rPr>
          <w:rFonts w:ascii="Palatino Linotype" w:hAnsi="Palatino Linotype"/>
          <w:sz w:val="20"/>
          <w:szCs w:val="20"/>
        </w:rPr>
        <w:t>los</w:t>
      </w:r>
      <w:r w:rsidR="003B48E2" w:rsidRPr="00202FDB">
        <w:rPr>
          <w:rFonts w:ascii="Palatino Linotype" w:hAnsi="Palatino Linotype"/>
          <w:sz w:val="20"/>
          <w:szCs w:val="20"/>
        </w:rPr>
        <w:t xml:space="preserve"> colaboradores</w:t>
      </w:r>
      <w:r w:rsidR="009964A4" w:rsidRPr="00202FDB">
        <w:rPr>
          <w:rFonts w:ascii="Palatino Linotype" w:hAnsi="Palatino Linotype"/>
          <w:sz w:val="20"/>
          <w:szCs w:val="20"/>
        </w:rPr>
        <w:t>,</w:t>
      </w:r>
      <w:r w:rsidR="003B48E2" w:rsidRPr="00202FDB">
        <w:rPr>
          <w:rFonts w:ascii="Palatino Linotype" w:hAnsi="Palatino Linotype"/>
          <w:sz w:val="20"/>
          <w:szCs w:val="20"/>
        </w:rPr>
        <w:t xml:space="preserve"> a través de una misión y visión compartida</w:t>
      </w:r>
      <w:r w:rsidR="009964A4" w:rsidRPr="00202FDB">
        <w:rPr>
          <w:rFonts w:ascii="Palatino Linotype" w:hAnsi="Palatino Linotype"/>
          <w:sz w:val="20"/>
          <w:szCs w:val="20"/>
        </w:rPr>
        <w:t>, conformada</w:t>
      </w:r>
      <w:r w:rsidR="00EE737F" w:rsidRPr="00202FDB">
        <w:rPr>
          <w:rFonts w:ascii="Palatino Linotype" w:hAnsi="Palatino Linotype"/>
          <w:sz w:val="20"/>
          <w:szCs w:val="20"/>
        </w:rPr>
        <w:t xml:space="preserve"> </w:t>
      </w:r>
      <w:r w:rsidR="009964A4" w:rsidRPr="00202FDB">
        <w:rPr>
          <w:rFonts w:ascii="Palatino Linotype" w:hAnsi="Palatino Linotype"/>
          <w:sz w:val="20"/>
          <w:szCs w:val="20"/>
        </w:rPr>
        <w:t xml:space="preserve">por herramientas para su cumplimiento. </w:t>
      </w:r>
    </w:p>
    <w:p w:rsidR="009964A4" w:rsidRPr="00202FDB" w:rsidRDefault="009964A4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lastRenderedPageBreak/>
        <w:t>Convenio de colaboración:</w:t>
      </w:r>
      <w:r w:rsidR="00CA46DB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instrumento de compromiso entre la municipalidad y el órgano garante, a fin de estipular lo avances, mejoras y mecanismos de evaluación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(1 mes para elaboración, vigencia indefinida)</w:t>
      </w:r>
      <w:r w:rsidR="00CA46DB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.  </w:t>
      </w:r>
    </w:p>
    <w:p w:rsidR="009964A4" w:rsidRPr="00202FDB" w:rsidRDefault="009964A4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Política de Transparencia y Acceso a la Información Pública:</w:t>
      </w:r>
      <w:r w:rsidR="00CA46DB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formato que describe el alcance y las funciones principales desarrollados por las municipalidades en los ámbitos de transparencia, acceso a la información y gestión documental, con referencia a su estructura de trabajo, responsables y reporte de resultados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(3 meses de implementación)</w:t>
      </w:r>
      <w:r w:rsidR="00CA46DB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.</w:t>
      </w:r>
    </w:p>
    <w:p w:rsidR="009964A4" w:rsidRPr="00202FDB" w:rsidRDefault="009964A4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Sistema de Integridad y Código de Ética:</w:t>
      </w:r>
      <w:r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</w:t>
      </w:r>
      <w:r w:rsidR="00CA46DB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elaboración de un Código de Ética y sus canales de denuncia de forma participativa con los funcionarios municipales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(6 meses de implementación y vigencia indefinida)</w:t>
      </w:r>
      <w:r w:rsidR="00CA46DB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.</w:t>
      </w:r>
    </w:p>
    <w:p w:rsidR="009964A4" w:rsidRPr="00202FDB" w:rsidRDefault="009964A4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Planes y Proyectos de Transparencia:</w:t>
      </w:r>
      <w:r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</w:t>
      </w:r>
      <w:r w:rsidR="00CA46DB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fichas de proyectos de transparencia, incorporando la descripción de sus objetivos esperados, las actividades principales, responsables, presupuestos y su integración con el plan estratégico de la municipalidad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(Depende de la duración de cada proyecto)</w:t>
      </w:r>
      <w:r w:rsidR="00CA46DB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.</w:t>
      </w:r>
    </w:p>
    <w:p w:rsidR="00CA46DB" w:rsidRPr="00202FDB" w:rsidRDefault="00CA46DB" w:rsidP="00202FDB">
      <w:pPr>
        <w:pStyle w:val="Prrafodelista"/>
        <w:tabs>
          <w:tab w:val="left" w:pos="5025"/>
        </w:tabs>
        <w:spacing w:after="160"/>
        <w:ind w:left="1440"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</w:p>
    <w:p w:rsidR="00EE737F" w:rsidRPr="00202FDB" w:rsidRDefault="00EE737F" w:rsidP="00202FDB">
      <w:pPr>
        <w:pStyle w:val="Prrafodelista"/>
        <w:numPr>
          <w:ilvl w:val="0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lastRenderedPageBreak/>
        <w:t xml:space="preserve">Recursos: </w:t>
      </w:r>
      <w:r w:rsidR="00D211B0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pretende</w:t>
      </w:r>
      <w:r w:rsidR="00D211B0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D211B0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fortalecer aquellas capacidades institucionales necesarias para que el municipio pueda responder a las obligaciones que le impone la normativa</w:t>
      </w:r>
      <w:r w:rsidR="00C672AD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, </w:t>
      </w:r>
      <w:r w:rsidR="00C672AD" w:rsidRPr="00202FDB">
        <w:rPr>
          <w:rFonts w:ascii="Palatino Linotype" w:hAnsi="Palatino Linotype"/>
          <w:sz w:val="20"/>
          <w:szCs w:val="20"/>
        </w:rPr>
        <w:t xml:space="preserve">conformada por herramientas para su cumplimiento. </w:t>
      </w:r>
    </w:p>
    <w:p w:rsidR="00EE737F" w:rsidRPr="00202FDB" w:rsidRDefault="00EE737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Perfiles de Cargo</w:t>
      </w:r>
      <w:r w:rsidR="00D211B0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D211B0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requisitos a considerar en la descripción de funciones y competencias de los responsables de transparencia activa, pasiva y gestión documental</w:t>
      </w:r>
      <w:r w:rsidR="000551A3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(3 meses)</w:t>
      </w:r>
      <w:r w:rsidR="00D211B0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.</w:t>
      </w:r>
    </w:p>
    <w:p w:rsidR="00C672AD" w:rsidRPr="00202FDB" w:rsidRDefault="00EE737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Plan anual de capacitación </w:t>
      </w:r>
      <w:r w:rsidR="009C768F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interna a funcionarios públicos</w:t>
      </w:r>
      <w:r w:rsidR="00D211B0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D211B0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identificación de necesidades y propuesta de formato de plan de capacitación</w:t>
      </w:r>
      <w:r w:rsidR="000551A3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(anual)</w:t>
      </w:r>
      <w:r w:rsidR="00C672AD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. </w:t>
      </w:r>
    </w:p>
    <w:p w:rsidR="00D211B0" w:rsidRPr="00202FDB" w:rsidRDefault="009C768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Diagnóstico de la</w:t>
      </w:r>
      <w:r w:rsidR="00EE737F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infraestructura </w:t>
      </w: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asignada a </w:t>
      </w:r>
      <w:r w:rsidR="00EE737F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los procesos de transparencia</w:t>
      </w:r>
      <w:r w:rsidR="00D211B0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D211B0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recursos informáticos, condiciones de los depósitos documentales y oficinas de atención al público</w:t>
      </w:r>
      <w:r w:rsidR="000551A3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(3 meses)</w:t>
      </w:r>
      <w:r w:rsidR="00D211B0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.</w:t>
      </w:r>
    </w:p>
    <w:p w:rsidR="00EE737F" w:rsidRPr="00202FDB" w:rsidRDefault="00EE737F" w:rsidP="00202FDB">
      <w:pPr>
        <w:pStyle w:val="Prrafodelista"/>
        <w:tabs>
          <w:tab w:val="left" w:pos="5025"/>
        </w:tabs>
        <w:spacing w:after="160"/>
        <w:ind w:left="1440"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</w:p>
    <w:p w:rsidR="00EE737F" w:rsidRPr="00202FDB" w:rsidRDefault="00EE737F" w:rsidP="00202FDB">
      <w:pPr>
        <w:pStyle w:val="Prrafodelista"/>
        <w:numPr>
          <w:ilvl w:val="0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Procesos:</w:t>
      </w:r>
      <w:r w:rsidR="00C672AD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C672AD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forma en cómo se ejecuta la normativa al interior de la municipalidad y determinar el nivel de madurez de los procesos principales en materia de transparencia activa y transparencia pasiva, </w:t>
      </w:r>
      <w:r w:rsidR="00C672AD" w:rsidRPr="00202FDB">
        <w:rPr>
          <w:rFonts w:ascii="Palatino Linotype" w:hAnsi="Palatino Linotype"/>
          <w:sz w:val="20"/>
          <w:szCs w:val="20"/>
        </w:rPr>
        <w:t xml:space="preserve">conformada por herramientas para su cumplimiento. </w:t>
      </w:r>
    </w:p>
    <w:p w:rsidR="00EE737F" w:rsidRPr="00202FDB" w:rsidRDefault="00EE737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Formalización de procesos</w:t>
      </w:r>
      <w:r w:rsidR="00C672AD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C672AD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indagará en el nivel de documentación del proceso, si está diagramado, donde se establecen las distintas actividades y roles asociados, si está formalizada </w:t>
      </w:r>
      <w:r w:rsidR="00C672AD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lastRenderedPageBreak/>
        <w:t>dicha documentación a través de un acto formal de la autoridad edilicia y si ha sido difundido al interior de la municipalidad</w:t>
      </w:r>
      <w:r w:rsidR="000551A3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(6 meses)</w:t>
      </w:r>
      <w:r w:rsidR="00C672AD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.</w:t>
      </w:r>
    </w:p>
    <w:p w:rsidR="00EE737F" w:rsidRPr="00202FDB" w:rsidRDefault="00EE737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Automatización de procesos</w:t>
      </w:r>
      <w:r w:rsidR="00C672AD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C672AD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nivel de automatización desde un registro básico empleando para ello, hasta un sistema que automatiza la totalidad del proceso</w:t>
      </w:r>
      <w:r w:rsidR="000551A3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(3 meses)</w:t>
      </w:r>
      <w:r w:rsidR="001B04F1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. </w:t>
      </w:r>
    </w:p>
    <w:p w:rsidR="001B04F1" w:rsidRPr="00202FDB" w:rsidRDefault="001B04F1" w:rsidP="00202FDB">
      <w:pPr>
        <w:pStyle w:val="Prrafodelista"/>
        <w:tabs>
          <w:tab w:val="left" w:pos="5025"/>
        </w:tabs>
        <w:spacing w:after="160"/>
        <w:ind w:left="1440"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</w:p>
    <w:p w:rsidR="001B04F1" w:rsidRPr="00202FDB" w:rsidRDefault="00EE737F" w:rsidP="00202FDB">
      <w:pPr>
        <w:pStyle w:val="Prrafodelista"/>
        <w:numPr>
          <w:ilvl w:val="0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Ciudadanía:</w:t>
      </w:r>
      <w:r w:rsidR="001B04F1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1B04F1" w:rsidRPr="00202FDB">
        <w:rPr>
          <w:rFonts w:ascii="Palatino Linotype" w:hAnsi="Palatino Linotype"/>
          <w:sz w:val="20"/>
          <w:szCs w:val="20"/>
        </w:rPr>
        <w:t>relación estrecha y cotidiana entre el municipio y la ciudadanía, se deben contemplar mecanismos expeditos para el ejercicio del derecho de acceso a la información pública, conformada por herramientas para su cumplimiento.</w:t>
      </w:r>
    </w:p>
    <w:p w:rsidR="00EE737F" w:rsidRPr="00202FDB" w:rsidRDefault="00EE737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Plan anual de difusión a la ciudadanía</w:t>
      </w:r>
      <w:r w:rsidR="001B04F1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1B04F1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definición de sus objetivos, metas, acciones, responsables y mecanismos de seguimiento</w:t>
      </w:r>
      <w:r w:rsidR="00AB0F99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(3 meses)</w:t>
      </w:r>
      <w:r w:rsidR="001B04F1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.</w:t>
      </w:r>
    </w:p>
    <w:p w:rsidR="00EE737F" w:rsidRPr="00202FDB" w:rsidRDefault="00EE737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Formalización de canales de atención</w:t>
      </w:r>
      <w:r w:rsidR="001B04F1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1B04F1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elaboración de cartas de servicios, incluyendo responsables, condiciones de operación, plan de contingencia, entre otros</w:t>
      </w:r>
      <w:r w:rsidR="00AB0F99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(3 meses)</w:t>
      </w:r>
      <w:r w:rsidR="001B04F1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.</w:t>
      </w:r>
    </w:p>
    <w:p w:rsidR="00EE737F" w:rsidRPr="00202FDB" w:rsidRDefault="00EE737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Transparencia Proactiva</w:t>
      </w:r>
      <w:r w:rsidR="001B04F1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1B04F1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guía metodológica para elaborar nuevos contenidos de información definidos con la misma ciudadanía y su formato de publicación, conforme a un proceso dinámico de identificación de necesidades según públicos objetivos metas</w:t>
      </w:r>
      <w:r w:rsidR="00AB0F99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(4 meses)</w:t>
      </w:r>
      <w:r w:rsidR="001B04F1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.</w:t>
      </w:r>
    </w:p>
    <w:p w:rsidR="00EE737F" w:rsidRPr="00202FDB" w:rsidRDefault="009C768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lastRenderedPageBreak/>
        <w:t>Política de datos a</w:t>
      </w:r>
      <w:r w:rsidR="00EE737F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biertos</w:t>
      </w:r>
      <w:r w:rsidR="001B04F1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1B04F1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atributos y requisitos para la elaboración de la política de datos abiertos de la municipalidad, con incorporación de sus objetivos, procesos de trabajo, responsables, participantes, entre otros</w:t>
      </w:r>
      <w:r w:rsidR="00AB0F99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(5 meses)</w:t>
      </w:r>
      <w:r w:rsidR="001B04F1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.</w:t>
      </w:r>
    </w:p>
    <w:p w:rsidR="001B04F1" w:rsidRPr="00202FDB" w:rsidRDefault="001B04F1" w:rsidP="00202FDB">
      <w:pPr>
        <w:pStyle w:val="Prrafodelista"/>
        <w:tabs>
          <w:tab w:val="left" w:pos="5025"/>
        </w:tabs>
        <w:spacing w:after="160"/>
        <w:ind w:left="1440"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</w:p>
    <w:p w:rsidR="00672808" w:rsidRPr="00202FDB" w:rsidRDefault="00EE737F" w:rsidP="00202FDB">
      <w:pPr>
        <w:pStyle w:val="Prrafodelista"/>
        <w:numPr>
          <w:ilvl w:val="0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Mejora continua:</w:t>
      </w:r>
      <w:r w:rsidR="00672808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controlar y evaluar el funcionamiento, a través de indicadores de desempeño u otras evaluaciones que permitan un mejoramiento de los procesos de transparencia, </w:t>
      </w:r>
      <w:r w:rsidR="00672808" w:rsidRPr="00202FDB">
        <w:rPr>
          <w:rFonts w:ascii="Palatino Linotype" w:hAnsi="Palatino Linotype"/>
          <w:sz w:val="20"/>
          <w:szCs w:val="20"/>
        </w:rPr>
        <w:t>conformada por herramientas para su cumplimiento.</w:t>
      </w:r>
    </w:p>
    <w:p w:rsidR="00672808" w:rsidRPr="00202FDB" w:rsidRDefault="00EE737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Satisfacción </w:t>
      </w:r>
      <w:r w:rsidR="00672808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suaria</w:t>
      </w:r>
      <w:r w:rsidR="00672808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instrumento de evaluación de satisfacción que permite conocer la satisfacción de los usuarios lograda a partir de los mecanismos de transparencia y acceso a la información pública implementados por las municipalidades</w:t>
      </w:r>
      <w:r w:rsidR="00AB0F99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(anual)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. </w:t>
      </w:r>
    </w:p>
    <w:p w:rsidR="00672808" w:rsidRPr="00202FDB" w:rsidRDefault="009C768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Reporte de indicadores de d</w:t>
      </w:r>
      <w:r w:rsidR="00EE737F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esempeño</w:t>
      </w:r>
      <w:r w:rsidR="00672808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indicadores para medir el desempeño de los mecanismos de transparencia y acceso a la información pública, y su formato de reportería de resultados</w:t>
      </w:r>
      <w:r w:rsidR="00AB0F99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(3 meses para la adopción de batería de indicadores de instalación)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.</w:t>
      </w:r>
    </w:p>
    <w:p w:rsidR="00672808" w:rsidRPr="00202FDB" w:rsidRDefault="009C768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Rendición de cuentas</w:t>
      </w:r>
      <w:r w:rsidR="00672808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proceso de rendición de cuentas de la municipalidad e incorporando los mecanismos de transparencia, y elaborar su informe con interacción de los ciudadanos</w:t>
      </w:r>
      <w:r w:rsidR="00AB0F99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(anual)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.  </w:t>
      </w:r>
    </w:p>
    <w:p w:rsidR="009964A4" w:rsidRPr="00202FDB" w:rsidRDefault="00EE737F" w:rsidP="00202FDB">
      <w:pPr>
        <w:pStyle w:val="Prrafodelista"/>
        <w:numPr>
          <w:ilvl w:val="1"/>
          <w:numId w:val="24"/>
        </w:num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Planes de Mejora</w:t>
      </w:r>
      <w:r w:rsidR="00672808" w:rsidRPr="00202FDB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formalizar y comprometer acciones que eleven los resultados de la transparencia y acceso a la información en la municipalidad</w:t>
      </w:r>
      <w:r w:rsidR="00AB0F99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(3 meses)</w:t>
      </w:r>
      <w:r w:rsidR="00672808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.</w:t>
      </w:r>
    </w:p>
    <w:p w:rsidR="000551A3" w:rsidRPr="00202FDB" w:rsidRDefault="00AB0F99" w:rsidP="00202FDB">
      <w:pPr>
        <w:tabs>
          <w:tab w:val="left" w:pos="5025"/>
        </w:tabs>
        <w:spacing w:after="160"/>
        <w:ind w:right="49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lastRenderedPageBreak/>
        <w:t>Las</w:t>
      </w:r>
      <w:r w:rsidR="000551A3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herramientas citadas </w:t>
      </w:r>
      <w:r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>estipulan temporalidad para su implementación; así como, en el documento de referencia enuncia para cada herramienta una</w:t>
      </w:r>
      <w:r w:rsidR="000551A3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guía de implementación</w:t>
      </w:r>
      <w:r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y para algunas </w:t>
      </w:r>
      <w:r w:rsidR="000551A3" w:rsidRPr="00202FDB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anexos referentes a formatos que facilitaran la acción a desarrollar, al ser un formato pre generado, cuyo fin es que todos los municipios cuenten con documentos homologados. </w:t>
      </w:r>
    </w:p>
    <w:bookmarkEnd w:id="1"/>
    <w:p w:rsidR="005626D1" w:rsidRPr="00202FDB" w:rsidRDefault="005626D1" w:rsidP="00202FDB">
      <w:pPr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</w:p>
    <w:sectPr w:rsidR="005626D1" w:rsidRPr="00202FDB">
      <w:headerReference w:type="default" r:id="rId8"/>
      <w:footerReference w:type="default" r:id="rId9"/>
      <w:pgSz w:w="11340" w:h="6804" w:orient="landscape"/>
      <w:pgMar w:top="998" w:right="720" w:bottom="567" w:left="720" w:header="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AF" w:rsidRDefault="00383EAF">
      <w:r>
        <w:separator/>
      </w:r>
    </w:p>
  </w:endnote>
  <w:endnote w:type="continuationSeparator" w:id="0">
    <w:p w:rsidR="00383EAF" w:rsidRDefault="0038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C95" w:rsidRDefault="00F96915" w:rsidP="003D17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647"/>
      </w:tabs>
      <w:jc w:val="right"/>
      <w:rPr>
        <w:rFonts w:ascii="Palatino Linotype" w:eastAsia="Palatino Linotype" w:hAnsi="Palatino Linotype" w:cs="Palatino Linotype"/>
        <w:color w:val="000000"/>
        <w:sz w:val="20"/>
        <w:szCs w:val="20"/>
      </w:rPr>
    </w:pPr>
    <w:r w:rsidRPr="00F96915">
      <w:rPr>
        <w:rFonts w:ascii="Palatino Linotype" w:eastAsia="Palatino Linotype" w:hAnsi="Palatino Linotype" w:cs="Palatino Linotype"/>
        <w:noProof/>
        <w:color w:val="000000"/>
        <w:sz w:val="20"/>
        <w:szCs w:val="20"/>
        <w:lang w:val="es-MX"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3599815</wp:posOffset>
          </wp:positionH>
          <wp:positionV relativeFrom="page">
            <wp:posOffset>3800475</wp:posOffset>
          </wp:positionV>
          <wp:extent cx="2124075" cy="434340"/>
          <wp:effectExtent l="0" t="0" r="9525" b="381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50C95">
      <w:rPr>
        <w:rFonts w:ascii="Palatino Linotype" w:eastAsia="Palatino Linotype" w:hAnsi="Palatino Linotype" w:cs="Palatino Linotype"/>
        <w:noProof/>
        <w:color w:val="000000"/>
        <w:sz w:val="20"/>
        <w:szCs w:val="20"/>
        <w:lang w:val="es-MX"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-445980</wp:posOffset>
          </wp:positionH>
          <wp:positionV relativeFrom="page">
            <wp:posOffset>3803455</wp:posOffset>
          </wp:positionV>
          <wp:extent cx="2961982" cy="51801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761"/>
                  <a:stretch/>
                </pic:blipFill>
                <pic:spPr bwMode="auto">
                  <a:xfrm>
                    <a:off x="0" y="0"/>
                    <a:ext cx="3131016" cy="547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0B5"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           </w:t>
    </w:r>
  </w:p>
  <w:p w:rsidR="005A40B5" w:rsidRDefault="00F96915" w:rsidP="00F969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647"/>
      </w:tabs>
      <w:jc w:val="center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                                                                                   </w:t>
    </w:r>
    <w:r w:rsidR="00747EE0"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               </w:t>
    </w:r>
    <w:r w:rsidR="005A40B5"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 </w:t>
    </w:r>
    <w:r w:rsidR="005A40B5">
      <w:rPr>
        <w:rFonts w:ascii="Palatino Linotype" w:eastAsia="Palatino Linotype" w:hAnsi="Palatino Linotype" w:cs="Palatino Linotype"/>
        <w:b/>
        <w:color w:val="000000"/>
        <w:sz w:val="20"/>
        <w:szCs w:val="20"/>
      </w:rPr>
      <w:fldChar w:fldCharType="begin"/>
    </w:r>
    <w:r w:rsidR="005A40B5">
      <w:rPr>
        <w:rFonts w:ascii="Palatino Linotype" w:eastAsia="Palatino Linotype" w:hAnsi="Palatino Linotype" w:cs="Palatino Linotype"/>
        <w:b/>
        <w:color w:val="000000"/>
        <w:sz w:val="20"/>
        <w:szCs w:val="20"/>
      </w:rPr>
      <w:instrText>PAGE</w:instrText>
    </w:r>
    <w:r w:rsidR="005A40B5">
      <w:rPr>
        <w:rFonts w:ascii="Palatino Linotype" w:eastAsia="Palatino Linotype" w:hAnsi="Palatino Linotype" w:cs="Palatino Linotype"/>
        <w:b/>
        <w:color w:val="000000"/>
        <w:sz w:val="20"/>
        <w:szCs w:val="20"/>
      </w:rPr>
      <w:fldChar w:fldCharType="separate"/>
    </w:r>
    <w:r w:rsidR="009F4178">
      <w:rPr>
        <w:rFonts w:ascii="Palatino Linotype" w:eastAsia="Palatino Linotype" w:hAnsi="Palatino Linotype" w:cs="Palatino Linotype"/>
        <w:b/>
        <w:noProof/>
        <w:color w:val="000000"/>
        <w:sz w:val="20"/>
        <w:szCs w:val="20"/>
      </w:rPr>
      <w:t>7</w:t>
    </w:r>
    <w:r w:rsidR="005A40B5">
      <w:rPr>
        <w:rFonts w:ascii="Palatino Linotype" w:eastAsia="Palatino Linotype" w:hAnsi="Palatino Linotype" w:cs="Palatino Linotype"/>
        <w:b/>
        <w:color w:val="000000"/>
        <w:sz w:val="20"/>
        <w:szCs w:val="20"/>
      </w:rPr>
      <w:fldChar w:fldCharType="end"/>
    </w:r>
    <w:r w:rsidR="005A40B5"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 de </w:t>
    </w:r>
    <w:r w:rsidR="005A40B5">
      <w:rPr>
        <w:rFonts w:ascii="Palatino Linotype" w:eastAsia="Palatino Linotype" w:hAnsi="Palatino Linotype" w:cs="Palatino Linotype"/>
        <w:b/>
        <w:color w:val="000000"/>
        <w:sz w:val="20"/>
        <w:szCs w:val="20"/>
      </w:rPr>
      <w:fldChar w:fldCharType="begin"/>
    </w:r>
    <w:r w:rsidR="005A40B5">
      <w:rPr>
        <w:rFonts w:ascii="Palatino Linotype" w:eastAsia="Palatino Linotype" w:hAnsi="Palatino Linotype" w:cs="Palatino Linotype"/>
        <w:b/>
        <w:color w:val="000000"/>
        <w:sz w:val="20"/>
        <w:szCs w:val="20"/>
      </w:rPr>
      <w:instrText>NUMPAGES</w:instrText>
    </w:r>
    <w:r w:rsidR="005A40B5">
      <w:rPr>
        <w:rFonts w:ascii="Palatino Linotype" w:eastAsia="Palatino Linotype" w:hAnsi="Palatino Linotype" w:cs="Palatino Linotype"/>
        <w:b/>
        <w:color w:val="000000"/>
        <w:sz w:val="20"/>
        <w:szCs w:val="20"/>
      </w:rPr>
      <w:fldChar w:fldCharType="separate"/>
    </w:r>
    <w:r w:rsidR="009F4178">
      <w:rPr>
        <w:rFonts w:ascii="Palatino Linotype" w:eastAsia="Palatino Linotype" w:hAnsi="Palatino Linotype" w:cs="Palatino Linotype"/>
        <w:b/>
        <w:noProof/>
        <w:color w:val="000000"/>
        <w:sz w:val="20"/>
        <w:szCs w:val="20"/>
      </w:rPr>
      <w:t>7</w:t>
    </w:r>
    <w:r w:rsidR="005A40B5">
      <w:rPr>
        <w:rFonts w:ascii="Palatino Linotype" w:eastAsia="Palatino Linotype" w:hAnsi="Palatino Linotype" w:cs="Palatino Linotype"/>
        <w:b/>
        <w:color w:val="000000"/>
        <w:sz w:val="20"/>
        <w:szCs w:val="20"/>
      </w:rPr>
      <w:fldChar w:fldCharType="end"/>
    </w:r>
    <w:r w:rsidR="00747EE0">
      <w:rPr>
        <w:rFonts w:ascii="Palatino Linotype" w:eastAsia="Palatino Linotype" w:hAnsi="Palatino Linotype" w:cs="Palatino Linotype"/>
        <w:b/>
        <w:color w:val="000000"/>
        <w:sz w:val="20"/>
        <w:szCs w:val="20"/>
      </w:rPr>
      <w:t xml:space="preserve">                  </w:t>
    </w:r>
  </w:p>
  <w:p w:rsidR="005A40B5" w:rsidRDefault="005A40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AF" w:rsidRDefault="00383EAF">
      <w:r>
        <w:separator/>
      </w:r>
    </w:p>
  </w:footnote>
  <w:footnote w:type="continuationSeparator" w:id="0">
    <w:p w:rsidR="00383EAF" w:rsidRDefault="00383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B5" w:rsidRDefault="00E50C95">
    <w:pPr>
      <w:jc w:val="both"/>
    </w:pPr>
    <w:r>
      <w:rPr>
        <w:rFonts w:ascii="Palatino Linotype" w:hAnsi="Palatino Linotype"/>
        <w:noProof/>
        <w:color w:val="000000"/>
        <w:sz w:val="16"/>
        <w:szCs w:val="22"/>
        <w:lang w:val="es-MX" w:eastAsia="es-MX"/>
      </w:rPr>
      <w:drawing>
        <wp:anchor distT="0" distB="0" distL="114300" distR="114300" simplePos="0" relativeHeight="251661312" behindDoc="1" locked="0" layoutInCell="1" allowOverlap="1" wp14:anchorId="2EE06698" wp14:editId="71CC99A0">
          <wp:simplePos x="0" y="0"/>
          <wp:positionH relativeFrom="column">
            <wp:posOffset>516</wp:posOffset>
          </wp:positionH>
          <wp:positionV relativeFrom="page">
            <wp:posOffset>157196</wp:posOffset>
          </wp:positionV>
          <wp:extent cx="952760" cy="545910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32" t="4738" r="71626" b="86393"/>
                  <a:stretch/>
                </pic:blipFill>
                <pic:spPr bwMode="auto">
                  <a:xfrm>
                    <a:off x="0" y="0"/>
                    <a:ext cx="952760" cy="545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0C95" w:rsidRDefault="00E50C95">
    <w:pPr>
      <w:jc w:val="both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1828800</wp:posOffset>
              </wp:positionH>
              <wp:positionV relativeFrom="paragraph">
                <wp:posOffset>153679</wp:posOffset>
              </wp:positionV>
              <wp:extent cx="4535877" cy="340923"/>
              <wp:effectExtent l="0" t="0" r="0" b="0"/>
              <wp:wrapNone/>
              <wp:docPr id="30" name="Rectá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5877" cy="3409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40B5" w:rsidRDefault="00634FCA">
                          <w:pPr>
                            <w:jc w:val="right"/>
                            <w:textDirection w:val="btLr"/>
                          </w:pPr>
                          <w:r w:rsidRPr="0030347B">
                            <w:rPr>
                              <w:rFonts w:ascii="Palatino Linotype" w:hAnsi="Palatino Linotype"/>
                              <w:sz w:val="14"/>
                            </w:rPr>
                            <w:t xml:space="preserve">“2022. Año del </w:t>
                          </w:r>
                          <w:proofErr w:type="spellStart"/>
                          <w:r w:rsidRPr="0030347B">
                            <w:rPr>
                              <w:rFonts w:ascii="Palatino Linotype" w:hAnsi="Palatino Linotype"/>
                              <w:sz w:val="14"/>
                            </w:rPr>
                            <w:t>Quincentenario</w:t>
                          </w:r>
                          <w:proofErr w:type="spellEnd"/>
                          <w:r w:rsidRPr="0030347B">
                            <w:rPr>
                              <w:rFonts w:ascii="Palatino Linotype" w:hAnsi="Palatino Linotype"/>
                              <w:sz w:val="14"/>
                            </w:rPr>
                            <w:t xml:space="preserve"> de Toluca, Capital del Estado de México”.</w:t>
                          </w:r>
                        </w:p>
                        <w:p w:rsidR="00E50C95" w:rsidRDefault="00E50C95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30" o:spid="_x0000_s1026" style="position:absolute;left:0;text-align:left;margin-left:2in;margin-top:12.1pt;width:357.15pt;height:2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" filled="f" stroked="f">
              <v:textbox inset="2.53958mm,1.2694mm,2.53958mm,1.2694mm">
                <w:txbxContent>
                  <w:p w:rsidR="005A40B5" w:rsidRDefault="00634FCA">
                    <w:pPr>
                      <w:jc w:val="right"/>
                      <w:textDirection w:val="btLr"/>
                    </w:pPr>
                    <w:r w:rsidRPr="0030347B">
                      <w:rPr>
                        <w:rFonts w:ascii="Palatino Linotype" w:hAnsi="Palatino Linotype"/>
                        <w:sz w:val="14"/>
                      </w:rPr>
                      <w:t xml:space="preserve">“2022. Año del </w:t>
                    </w:r>
                    <w:proofErr w:type="spellStart"/>
                    <w:r w:rsidRPr="0030347B">
                      <w:rPr>
                        <w:rFonts w:ascii="Palatino Linotype" w:hAnsi="Palatino Linotype"/>
                        <w:sz w:val="14"/>
                      </w:rPr>
                      <w:t>Quincentenario</w:t>
                    </w:r>
                    <w:proofErr w:type="spellEnd"/>
                    <w:r w:rsidRPr="0030347B">
                      <w:rPr>
                        <w:rFonts w:ascii="Palatino Linotype" w:hAnsi="Palatino Linotype"/>
                        <w:sz w:val="14"/>
                      </w:rPr>
                      <w:t xml:space="preserve"> de Toluca, Capital del Estado de México”.</w:t>
                    </w:r>
                  </w:p>
                  <w:p w:rsidR="00E50C95" w:rsidRDefault="00E50C95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A40B5">
      <w:t xml:space="preserve"> </w:t>
    </w:r>
  </w:p>
  <w:p w:rsidR="00E50C95" w:rsidRDefault="00E50C95">
    <w:pPr>
      <w:jc w:val="both"/>
    </w:pPr>
  </w:p>
  <w:p w:rsidR="005A40B5" w:rsidRDefault="005A40B5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5pt;height:396pt" o:bullet="t">
        <v:imagedata r:id="rId1" o:title="Sin título"/>
      </v:shape>
    </w:pict>
  </w:numPicBullet>
  <w:abstractNum w:abstractNumId="0">
    <w:nsid w:val="01A25810"/>
    <w:multiLevelType w:val="hybridMultilevel"/>
    <w:tmpl w:val="3070B6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43321"/>
    <w:multiLevelType w:val="multilevel"/>
    <w:tmpl w:val="83D03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176E7"/>
    <w:multiLevelType w:val="hybridMultilevel"/>
    <w:tmpl w:val="0E622A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279B8"/>
    <w:multiLevelType w:val="hybridMultilevel"/>
    <w:tmpl w:val="9AE251F6"/>
    <w:lvl w:ilvl="0" w:tplc="956E21C4">
      <w:numFmt w:val="bullet"/>
      <w:lvlText w:val="-"/>
      <w:lvlJc w:val="left"/>
      <w:pPr>
        <w:ind w:left="1069" w:hanging="360"/>
      </w:pPr>
      <w:rPr>
        <w:rFonts w:ascii="Palatino Linotype" w:eastAsia="Palatino Linotype" w:hAnsi="Palatino Linotype" w:cs="Palatino Linotype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7F35D4"/>
    <w:multiLevelType w:val="hybridMultilevel"/>
    <w:tmpl w:val="74BE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A67E9"/>
    <w:multiLevelType w:val="multilevel"/>
    <w:tmpl w:val="41C8E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9D701F3"/>
    <w:multiLevelType w:val="hybridMultilevel"/>
    <w:tmpl w:val="D632EC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71083"/>
    <w:multiLevelType w:val="hybridMultilevel"/>
    <w:tmpl w:val="B73AC26A"/>
    <w:lvl w:ilvl="0" w:tplc="E0B4F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7CAA3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80CE8"/>
    <w:multiLevelType w:val="hybridMultilevel"/>
    <w:tmpl w:val="8278A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862D7"/>
    <w:multiLevelType w:val="hybridMultilevel"/>
    <w:tmpl w:val="5CAED2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E7F03"/>
    <w:multiLevelType w:val="multilevel"/>
    <w:tmpl w:val="E1F0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511E57"/>
    <w:multiLevelType w:val="hybridMultilevel"/>
    <w:tmpl w:val="409E57D6"/>
    <w:lvl w:ilvl="0" w:tplc="0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8E14C31"/>
    <w:multiLevelType w:val="hybridMultilevel"/>
    <w:tmpl w:val="8922538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056757"/>
    <w:multiLevelType w:val="hybridMultilevel"/>
    <w:tmpl w:val="96803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03235"/>
    <w:multiLevelType w:val="hybridMultilevel"/>
    <w:tmpl w:val="B28AED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C6ADE"/>
    <w:multiLevelType w:val="hybridMultilevel"/>
    <w:tmpl w:val="4874D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55E7D"/>
    <w:multiLevelType w:val="hybridMultilevel"/>
    <w:tmpl w:val="E0BC091C"/>
    <w:lvl w:ilvl="0" w:tplc="956E21C4">
      <w:numFmt w:val="bullet"/>
      <w:lvlText w:val="-"/>
      <w:lvlJc w:val="left"/>
      <w:pPr>
        <w:ind w:left="1069" w:hanging="360"/>
      </w:pPr>
      <w:rPr>
        <w:rFonts w:ascii="Palatino Linotype" w:eastAsia="Palatino Linotype" w:hAnsi="Palatino Linotype" w:cs="Palatino Linotype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3463AB9"/>
    <w:multiLevelType w:val="hybridMultilevel"/>
    <w:tmpl w:val="22CAEA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753A7"/>
    <w:multiLevelType w:val="hybridMultilevel"/>
    <w:tmpl w:val="C4D80C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D345B6"/>
    <w:multiLevelType w:val="hybridMultilevel"/>
    <w:tmpl w:val="14D47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F69AE"/>
    <w:multiLevelType w:val="hybridMultilevel"/>
    <w:tmpl w:val="3604BD0C"/>
    <w:lvl w:ilvl="0" w:tplc="0C740B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D03E0F"/>
    <w:multiLevelType w:val="hybridMultilevel"/>
    <w:tmpl w:val="218C4E90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76FF66B4"/>
    <w:multiLevelType w:val="hybridMultilevel"/>
    <w:tmpl w:val="8F4854CC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7681599"/>
    <w:multiLevelType w:val="hybridMultilevel"/>
    <w:tmpl w:val="7FC4E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B094D9D"/>
    <w:multiLevelType w:val="hybridMultilevel"/>
    <w:tmpl w:val="A2820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BBF198A"/>
    <w:multiLevelType w:val="hybridMultilevel"/>
    <w:tmpl w:val="FDD0DC60"/>
    <w:lvl w:ilvl="0" w:tplc="C37CEBF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6"/>
  </w:num>
  <w:num w:numId="5">
    <w:abstractNumId w:val="3"/>
  </w:num>
  <w:num w:numId="6">
    <w:abstractNumId w:val="20"/>
  </w:num>
  <w:num w:numId="7">
    <w:abstractNumId w:val="12"/>
  </w:num>
  <w:num w:numId="8">
    <w:abstractNumId w:val="10"/>
  </w:num>
  <w:num w:numId="9">
    <w:abstractNumId w:val="22"/>
  </w:num>
  <w:num w:numId="10">
    <w:abstractNumId w:val="11"/>
  </w:num>
  <w:num w:numId="11">
    <w:abstractNumId w:val="9"/>
  </w:num>
  <w:num w:numId="12">
    <w:abstractNumId w:val="0"/>
  </w:num>
  <w:num w:numId="13">
    <w:abstractNumId w:val="25"/>
  </w:num>
  <w:num w:numId="14">
    <w:abstractNumId w:val="15"/>
  </w:num>
  <w:num w:numId="15">
    <w:abstractNumId w:val="19"/>
  </w:num>
  <w:num w:numId="16">
    <w:abstractNumId w:val="17"/>
  </w:num>
  <w:num w:numId="17">
    <w:abstractNumId w:val="2"/>
  </w:num>
  <w:num w:numId="18">
    <w:abstractNumId w:val="14"/>
  </w:num>
  <w:num w:numId="19">
    <w:abstractNumId w:val="18"/>
  </w:num>
  <w:num w:numId="20">
    <w:abstractNumId w:val="13"/>
  </w:num>
  <w:num w:numId="21">
    <w:abstractNumId w:val="21"/>
  </w:num>
  <w:num w:numId="22">
    <w:abstractNumId w:val="4"/>
  </w:num>
  <w:num w:numId="23">
    <w:abstractNumId w:val="8"/>
  </w:num>
  <w:num w:numId="24">
    <w:abstractNumId w:val="7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E7"/>
    <w:rsid w:val="0004076E"/>
    <w:rsid w:val="00047034"/>
    <w:rsid w:val="000551A3"/>
    <w:rsid w:val="00060752"/>
    <w:rsid w:val="00081F23"/>
    <w:rsid w:val="00082744"/>
    <w:rsid w:val="000921F4"/>
    <w:rsid w:val="000C6BF1"/>
    <w:rsid w:val="0012455A"/>
    <w:rsid w:val="001361A9"/>
    <w:rsid w:val="00164184"/>
    <w:rsid w:val="001768A1"/>
    <w:rsid w:val="00194ECE"/>
    <w:rsid w:val="001B04F1"/>
    <w:rsid w:val="001C445E"/>
    <w:rsid w:val="001F14C3"/>
    <w:rsid w:val="00202FDB"/>
    <w:rsid w:val="00262C02"/>
    <w:rsid w:val="002A698A"/>
    <w:rsid w:val="00320E46"/>
    <w:rsid w:val="00335CB4"/>
    <w:rsid w:val="00337D72"/>
    <w:rsid w:val="0034130B"/>
    <w:rsid w:val="003533F4"/>
    <w:rsid w:val="00383EAF"/>
    <w:rsid w:val="00387350"/>
    <w:rsid w:val="0039778D"/>
    <w:rsid w:val="003B48E2"/>
    <w:rsid w:val="003B58D8"/>
    <w:rsid w:val="003B7596"/>
    <w:rsid w:val="003C3F49"/>
    <w:rsid w:val="003D1796"/>
    <w:rsid w:val="003E7716"/>
    <w:rsid w:val="003F479D"/>
    <w:rsid w:val="003F7F7F"/>
    <w:rsid w:val="00434232"/>
    <w:rsid w:val="0044188C"/>
    <w:rsid w:val="004467FE"/>
    <w:rsid w:val="00451AB6"/>
    <w:rsid w:val="0046489B"/>
    <w:rsid w:val="004759A2"/>
    <w:rsid w:val="004D7B46"/>
    <w:rsid w:val="0055012A"/>
    <w:rsid w:val="00552F66"/>
    <w:rsid w:val="005626D1"/>
    <w:rsid w:val="00563974"/>
    <w:rsid w:val="00565787"/>
    <w:rsid w:val="005A40B5"/>
    <w:rsid w:val="005B13FE"/>
    <w:rsid w:val="005E39A7"/>
    <w:rsid w:val="005E69E7"/>
    <w:rsid w:val="005F49C4"/>
    <w:rsid w:val="006161C6"/>
    <w:rsid w:val="006217BB"/>
    <w:rsid w:val="00634FCA"/>
    <w:rsid w:val="00637C72"/>
    <w:rsid w:val="00641E33"/>
    <w:rsid w:val="00672808"/>
    <w:rsid w:val="00672F7D"/>
    <w:rsid w:val="006D0CB7"/>
    <w:rsid w:val="006E2AF7"/>
    <w:rsid w:val="006E7EF6"/>
    <w:rsid w:val="006F1749"/>
    <w:rsid w:val="006F70AF"/>
    <w:rsid w:val="007237CA"/>
    <w:rsid w:val="00731421"/>
    <w:rsid w:val="00747EE0"/>
    <w:rsid w:val="00753CAA"/>
    <w:rsid w:val="0076533C"/>
    <w:rsid w:val="007924E0"/>
    <w:rsid w:val="007D356E"/>
    <w:rsid w:val="007D3663"/>
    <w:rsid w:val="008036C8"/>
    <w:rsid w:val="00843036"/>
    <w:rsid w:val="008719F3"/>
    <w:rsid w:val="008A18CF"/>
    <w:rsid w:val="00905F0F"/>
    <w:rsid w:val="009335A6"/>
    <w:rsid w:val="00976676"/>
    <w:rsid w:val="0097675C"/>
    <w:rsid w:val="00986417"/>
    <w:rsid w:val="009964A4"/>
    <w:rsid w:val="009B299D"/>
    <w:rsid w:val="009B3CBA"/>
    <w:rsid w:val="009C768F"/>
    <w:rsid w:val="009F4178"/>
    <w:rsid w:val="00A02815"/>
    <w:rsid w:val="00A308B5"/>
    <w:rsid w:val="00A5696E"/>
    <w:rsid w:val="00AB0F99"/>
    <w:rsid w:val="00AD2E5B"/>
    <w:rsid w:val="00AD459A"/>
    <w:rsid w:val="00BC5D92"/>
    <w:rsid w:val="00C00B93"/>
    <w:rsid w:val="00C25B39"/>
    <w:rsid w:val="00C27FFD"/>
    <w:rsid w:val="00C405DB"/>
    <w:rsid w:val="00C405F4"/>
    <w:rsid w:val="00C527EC"/>
    <w:rsid w:val="00C60704"/>
    <w:rsid w:val="00C672AD"/>
    <w:rsid w:val="00C72A9B"/>
    <w:rsid w:val="00CA46DB"/>
    <w:rsid w:val="00CC20E6"/>
    <w:rsid w:val="00CE3AAF"/>
    <w:rsid w:val="00CE3CBC"/>
    <w:rsid w:val="00CF2CFB"/>
    <w:rsid w:val="00D211B0"/>
    <w:rsid w:val="00D21EE9"/>
    <w:rsid w:val="00D22A59"/>
    <w:rsid w:val="00D57795"/>
    <w:rsid w:val="00DA440B"/>
    <w:rsid w:val="00DC4BEF"/>
    <w:rsid w:val="00E0202A"/>
    <w:rsid w:val="00E102B3"/>
    <w:rsid w:val="00E438A2"/>
    <w:rsid w:val="00E50C95"/>
    <w:rsid w:val="00E54D3B"/>
    <w:rsid w:val="00E92F4F"/>
    <w:rsid w:val="00E94862"/>
    <w:rsid w:val="00EC2839"/>
    <w:rsid w:val="00EE5248"/>
    <w:rsid w:val="00EE737F"/>
    <w:rsid w:val="00F1694D"/>
    <w:rsid w:val="00F200F1"/>
    <w:rsid w:val="00F31858"/>
    <w:rsid w:val="00F6665F"/>
    <w:rsid w:val="00F96915"/>
    <w:rsid w:val="00FB180F"/>
    <w:rsid w:val="00FB74AA"/>
    <w:rsid w:val="00FD4658"/>
    <w:rsid w:val="00FE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8E6BED-DD21-40DB-8823-3CA9F7DA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4D4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024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24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7B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B22"/>
    <w:rPr>
      <w:rFonts w:ascii="Segoe UI" w:eastAsiaTheme="minorEastAsia" w:hAnsi="Segoe UI" w:cs="Segoe UI"/>
      <w:sz w:val="18"/>
      <w:szCs w:val="18"/>
      <w:lang w:val="es-ES_tradnl" w:eastAsia="es-ES"/>
    </w:rPr>
  </w:style>
  <w:style w:type="table" w:styleId="Tablaconcuadrcula">
    <w:name w:val="Table Grid"/>
    <w:basedOn w:val="Tablanormal"/>
    <w:uiPriority w:val="39"/>
    <w:rsid w:val="009B7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8249ED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7C22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43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4303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643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303"/>
    <w:rPr>
      <w:rFonts w:eastAsiaTheme="minorEastAsia"/>
      <w:sz w:val="24"/>
      <w:szCs w:val="24"/>
      <w:lang w:val="es-ES_tradnl" w:eastAsia="es-ES"/>
    </w:rPr>
  </w:style>
  <w:style w:type="table" w:customStyle="1" w:styleId="Tablanormal11">
    <w:name w:val="Tabla normal 11"/>
    <w:basedOn w:val="Tablanormal"/>
    <w:uiPriority w:val="41"/>
    <w:rsid w:val="008F102A"/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513B89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0C1D8D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751F5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1F51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751F5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E57D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E57D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974D4"/>
  </w:style>
  <w:style w:type="paragraph" w:customStyle="1" w:styleId="Pa7">
    <w:name w:val="Pa7"/>
    <w:basedOn w:val="Normal"/>
    <w:next w:val="Normal"/>
    <w:uiPriority w:val="99"/>
    <w:rsid w:val="006D4CAB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lang w:val="es-MX" w:eastAsia="en-US"/>
    </w:rPr>
  </w:style>
  <w:style w:type="character" w:customStyle="1" w:styleId="A3">
    <w:name w:val="A3"/>
    <w:uiPriority w:val="99"/>
    <w:rsid w:val="006D4CAB"/>
    <w:rPr>
      <w:color w:val="000000"/>
    </w:rPr>
  </w:style>
  <w:style w:type="paragraph" w:customStyle="1" w:styleId="Pa2">
    <w:name w:val="Pa2"/>
    <w:basedOn w:val="Normal"/>
    <w:next w:val="Normal"/>
    <w:uiPriority w:val="99"/>
    <w:rsid w:val="006D4CAB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lang w:val="es-MX" w:eastAsia="en-US"/>
    </w:rPr>
  </w:style>
  <w:style w:type="paragraph" w:customStyle="1" w:styleId="Pa10">
    <w:name w:val="Pa10"/>
    <w:basedOn w:val="Normal"/>
    <w:next w:val="Normal"/>
    <w:uiPriority w:val="99"/>
    <w:rsid w:val="006D4CAB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lang w:val="es-MX" w:eastAsia="en-US"/>
    </w:rPr>
  </w:style>
  <w:style w:type="paragraph" w:styleId="NormalWeb">
    <w:name w:val="Normal (Web)"/>
    <w:basedOn w:val="Normal"/>
    <w:uiPriority w:val="99"/>
    <w:unhideWhenUsed/>
    <w:rsid w:val="00DA342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024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024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bold">
    <w:name w:val="tbold"/>
    <w:basedOn w:val="Fuentedeprrafopredeter"/>
    <w:rsid w:val="00CE1F9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decuadrcula3-nfasis6">
    <w:name w:val="Grid Table 3 Accent 6"/>
    <w:basedOn w:val="Tablanormal"/>
    <w:uiPriority w:val="48"/>
    <w:rsid w:val="006F10D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6F10D0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a0">
    <w:basedOn w:val="TableNormal2"/>
    <w:rPr>
      <w:color w:val="538135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1">
    <w:basedOn w:val="TableNormal2"/>
    <w:rPr>
      <w:color w:val="538135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apple-tab-span">
    <w:name w:val="apple-tab-span"/>
    <w:basedOn w:val="Fuentedeprrafopredeter"/>
    <w:rsid w:val="00565787"/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qFormat/>
    <w:locked/>
    <w:rsid w:val="00082744"/>
    <w:rPr>
      <w:rFonts w:eastAsiaTheme="minorEastAsia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2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XbfHIiy4e0yuraiCCt/2gtx6Xw==">AMUW2mWtn8oB+hue7MtYCaBx3BlXF7NcWTHOH1SAQ8aqd8d6bZvJGDcQTa4mlwiZI5ZnkNscgsGw4BlQaz+SfQErvkGzkGA+XpuHdlf8gfQKBNvqSz/9SHipuAv1O/JDKXWo2TnqDackdUSMat9zItu8psrGAB030jJUJZOoByupv6PK/R19mRzdbHFARDplTDlYCY3tHnSV1DdUSKMfAUHHsvArK7OIIg==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DGTAIPGA </cp:lastModifiedBy>
  <cp:revision>4</cp:revision>
  <dcterms:created xsi:type="dcterms:W3CDTF">2022-09-05T21:16:00Z</dcterms:created>
  <dcterms:modified xsi:type="dcterms:W3CDTF">2023-02-20T19:06:00Z</dcterms:modified>
</cp:coreProperties>
</file>