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right="51"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En el Estado de México, siendo las once horas con un minuto del día 28 de abril de dos mil veintitrés, se encuentran reunidos los integrantes del Secretariado Técnico Local del Estado de México, para celebrar su Décimo Séptima Sesión Ordinaria, de manera híbrida, en modo presencial en las instalaciones del Instituto de Transparencia, Acceso a la Información Pública y Protección de Datos Personales del Estado de México y Municipios, ubicado en Calle de Pino Suárez sin número, actualmente Carretera Toluca-Ixtapan # 111, Colonia La Michoacana, Metepec, Estado de México y a través de la Plataforma virtual de Zoom, a la cual fueron convocados por el Facilitador Horacio Rodríguez Jiménez, mediante el oficio número </w:t>
      </w:r>
      <w:r w:rsidDel="00000000" w:rsidR="00000000" w:rsidRPr="00000000">
        <w:rPr>
          <w:rFonts w:ascii="Palatino Linotype" w:cs="Palatino Linotype" w:eastAsia="Palatino Linotype" w:hAnsi="Palatino Linotype"/>
          <w:b w:val="1"/>
          <w:sz w:val="22"/>
          <w:szCs w:val="22"/>
          <w:rtl w:val="0"/>
        </w:rPr>
        <w:t xml:space="preserve">STL/018/2023,</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fecha veintiuno de abril de dos mil veintitrés</w:t>
      </w:r>
      <w:r w:rsidDel="00000000" w:rsidR="00000000" w:rsidRPr="00000000">
        <w:rPr>
          <w:rFonts w:ascii="Palatino Linotype" w:cs="Palatino Linotype" w:eastAsia="Palatino Linotype" w:hAnsi="Palatino Linotype"/>
          <w:b w:val="1"/>
          <w:sz w:val="22"/>
          <w:szCs w:val="22"/>
          <w:rtl w:val="0"/>
        </w:rPr>
        <w:t xml:space="preserve">, estando presentes: José Martínez Vilchis, Comisionado Presidente del Instituto de Transparencia, Acceso a la Información Pública y Protección de Datos Personales del Estado de México y Municipios (Infoem) y Representante Titular de Órgano Garante, Luis Gustavo Parra Noriega, Comisionado del Infoem y Representante Suplente del Órgano Garante; Fabiola Catalina Aparicio Perales, Consejera de la Judicatura, en Representación del Magistrado Ricardo Sodi Cuellar Titular del Poder Judicial del Estado de México; Marco Antonio Becerril Garcés, Jefe de la Unidad de Prevención de la Corrupción de la Secretaría de la Contraloría del Estado de México en Representación del Secretario y Titular de los Entes públicos; Sandra Meza Cortes, Directora General de Justicia Cotidiana de la Secretaria de Justicia y Derechos Humanos del Gobierno del Estado de México; Carlos de la Peña Jiménez O´Farril, Representante Titular de la Sociedad Civil; Enrique Serrano Arenas, Representante Suplente de la Sociedad Civil; Horacio Rodríguez Jiménez Facilitador Titular del Secretariado Técnico Local, con la finalidad de desahogar la sesión bajo el siguiente orden del día:  </w:t>
      </w:r>
    </w:p>
    <w:p w:rsidR="00000000" w:rsidDel="00000000" w:rsidP="00000000" w:rsidRDefault="00000000" w:rsidRPr="00000000" w14:paraId="00000002">
      <w:pPr>
        <w:spacing w:line="360" w:lineRule="auto"/>
        <w:ind w:left="0" w:right="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3">
      <w:pPr>
        <w:spacing w:line="360" w:lineRule="auto"/>
        <w:ind w:left="0" w:right="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Orden del día</w:t>
      </w:r>
    </w:p>
    <w:p w:rsidR="00000000" w:rsidDel="00000000" w:rsidP="00000000" w:rsidRDefault="00000000" w:rsidRPr="00000000" w14:paraId="00000008">
      <w:pPr>
        <w:jc w:val="left"/>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widowControl w:val="0"/>
        <w:numPr>
          <w:ilvl w:val="0"/>
          <w:numId w:val="1"/>
        </w:numPr>
        <w:spacing w:before="160"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Lista de asistencia y declaratoria de quórum;</w:t>
      </w:r>
    </w:p>
    <w:p w:rsidR="00000000" w:rsidDel="00000000" w:rsidP="00000000" w:rsidRDefault="00000000" w:rsidRPr="00000000" w14:paraId="0000000A">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Lectura y en su caso, aprobación del orden del día;</w:t>
      </w:r>
    </w:p>
    <w:p w:rsidR="00000000" w:rsidDel="00000000" w:rsidP="00000000" w:rsidRDefault="00000000" w:rsidRPr="00000000" w14:paraId="0000000B">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Presentación y, en su caso, aprobación del acta de la Décimo Sexta Sesión Ordinaria, por parte de los integrantes del Secretariado Técnico Local;</w:t>
      </w:r>
    </w:p>
    <w:p w:rsidR="00000000" w:rsidDel="00000000" w:rsidP="00000000" w:rsidRDefault="00000000" w:rsidRPr="00000000" w14:paraId="0000000C">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Mensaje de José Martínez Vilchis, Comisionado Presidente del Instituto de Transparencia, Acceso a la Información Pública y Protección de Datos Personales del Estado de México y Municipios.</w:t>
      </w:r>
    </w:p>
    <w:p w:rsidR="00000000" w:rsidDel="00000000" w:rsidP="00000000" w:rsidRDefault="00000000" w:rsidRPr="00000000" w14:paraId="0000000D">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Presentación de avances de los compromisos del Plan de Acción Local inscritos ante la OGP por parte de Iván Barrera Pineda, Subsecretario de Justicia de la Secretaría de Justicia y Derechos Humanos del Estado de México;</w:t>
      </w:r>
    </w:p>
    <w:p w:rsidR="00000000" w:rsidDel="00000000" w:rsidP="00000000" w:rsidRDefault="00000000" w:rsidRPr="00000000" w14:paraId="0000000E">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Presentación para Lanzamiento del Estudio de Apertura Gubernamental en Municipios, como parte del Compromiso Proactivo del Instituto de Transparencia, Acceso a la Información Pública y Protección de Datos Personales del Estado de México y Municipios;</w:t>
      </w:r>
    </w:p>
    <w:p w:rsidR="00000000" w:rsidDel="00000000" w:rsidP="00000000" w:rsidRDefault="00000000" w:rsidRPr="00000000" w14:paraId="0000000F">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Presentación y, en su caso, aprobación de la Metodología de Evaluación del Plan de Acción Local.</w:t>
      </w:r>
    </w:p>
    <w:p w:rsidR="00000000" w:rsidDel="00000000" w:rsidP="00000000" w:rsidRDefault="00000000" w:rsidRPr="00000000" w14:paraId="00000010">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Seguimiento de Acuerdos;</w:t>
      </w:r>
    </w:p>
    <w:p w:rsidR="00000000" w:rsidDel="00000000" w:rsidP="00000000" w:rsidRDefault="00000000" w:rsidRPr="00000000" w14:paraId="00000011">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Asuntos Generales; y </w:t>
      </w:r>
    </w:p>
    <w:p w:rsidR="00000000" w:rsidDel="00000000" w:rsidP="00000000" w:rsidRDefault="00000000" w:rsidRPr="00000000" w14:paraId="00000012">
      <w:pPr>
        <w:widowControl w:val="0"/>
        <w:numPr>
          <w:ilvl w:val="0"/>
          <w:numId w:val="1"/>
        </w:numP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Clausura de la Sesión.</w:t>
      </w:r>
    </w:p>
    <w:p w:rsidR="00000000" w:rsidDel="00000000" w:rsidP="00000000" w:rsidRDefault="00000000" w:rsidRPr="00000000" w14:paraId="00000013">
      <w:pPr>
        <w:spacing w:line="360" w:lineRule="auto"/>
        <w:ind w:left="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w:t>
      </w:r>
      <w:r w:rsidDel="00000000" w:rsidR="00000000" w:rsidRPr="00000000">
        <w:rPr>
          <w:rFonts w:ascii="Palatino Linotype" w:cs="Palatino Linotype" w:eastAsia="Palatino Linotype" w:hAnsi="Palatino Linotype"/>
          <w:sz w:val="22"/>
          <w:szCs w:val="22"/>
          <w:rtl w:val="0"/>
        </w:rPr>
        <w:t xml:space="preserve"> El Facilitador del Secretariado Técnico Local, Horacio Rodríguez Jiménez, en uso de la voz procedió al pase de lista para la verificación de quórum legal, confirmando la mayoría de integrantes del Secretariado Técnico para su desarrollo.</w:t>
      </w:r>
    </w:p>
    <w:p w:rsidR="00000000" w:rsidDel="00000000" w:rsidP="00000000" w:rsidRDefault="00000000" w:rsidRPr="00000000" w14:paraId="0000001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II.- </w:t>
      </w:r>
      <w:r w:rsidDel="00000000" w:rsidR="00000000" w:rsidRPr="00000000">
        <w:rPr>
          <w:rFonts w:ascii="Palatino Linotype" w:cs="Palatino Linotype" w:eastAsia="Palatino Linotype" w:hAnsi="Palatino Linotype"/>
          <w:sz w:val="22"/>
          <w:szCs w:val="22"/>
          <w:rtl w:val="0"/>
        </w:rPr>
        <w:t xml:space="preserve">Para el desahogo del segundo punto del orden del día, se sometió a consideración de los asistentes la lectura y, en su caso, aprobación del orden del día. En uso de la palabra, el Facilitador preguntó a los presentes si existía algún comentario o modificación al mismo, así como si deseaban agregar algún punto a Asuntos Generales, sin que hubiera alguno por parte de los presentes, por lo que el Facilitador procedió a recabar la votación correspondiente emitiendo el siguiente acuerdo:</w:t>
      </w:r>
    </w:p>
    <w:p w:rsidR="00000000" w:rsidDel="00000000" w:rsidP="00000000" w:rsidRDefault="00000000" w:rsidRPr="00000000" w14:paraId="0000001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tbl>
      <w:tblPr>
        <w:tblStyle w:val="Table1"/>
        <w:tblW w:w="9111.0" w:type="dxa"/>
        <w:jc w:val="left"/>
        <w:tblInd w:w="-115.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555"/>
        <w:gridCol w:w="4556"/>
        <w:tblGridChange w:id="0">
          <w:tblGrid>
            <w:gridCol w:w="4555"/>
            <w:gridCol w:w="4556"/>
          </w:tblGrid>
        </w:tblGridChange>
      </w:tblGrid>
      <w:tr>
        <w:trPr>
          <w:cantSplit w:val="0"/>
          <w:tblHeader w:val="0"/>
        </w:trPr>
        <w:tc>
          <w:tcPr>
            <w:vAlign w:val="center"/>
          </w:tcPr>
          <w:p w:rsidR="00000000" w:rsidDel="00000000" w:rsidP="00000000" w:rsidRDefault="00000000" w:rsidRPr="00000000" w14:paraId="00000019">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STL/XVII/ORD/1/2023</w:t>
            </w: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357" w:right="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S</w:t>
            </w:r>
            <w:r w:rsidDel="00000000" w:rsidR="00000000" w:rsidRPr="00000000">
              <w:rPr>
                <w:rFonts w:ascii="Palatino Linotype" w:cs="Palatino Linotype" w:eastAsia="Palatino Linotype" w:hAnsi="Palatino Linotype"/>
                <w:color w:val="000000"/>
                <w:sz w:val="22"/>
                <w:szCs w:val="22"/>
                <w:rtl w:val="0"/>
              </w:rPr>
              <w:t xml:space="preserve">e aprueba por unanimidad de votos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color w:val="000000"/>
                <w:sz w:val="22"/>
                <w:szCs w:val="22"/>
                <w:rtl w:val="0"/>
              </w:rPr>
              <w:t xml:space="preserve">orden del día, en sus términos.</w:t>
            </w:r>
          </w:p>
        </w:tc>
      </w:tr>
    </w:tbl>
    <w:p w:rsidR="00000000" w:rsidDel="00000000" w:rsidP="00000000" w:rsidRDefault="00000000" w:rsidRPr="00000000" w14:paraId="0000001B">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C">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III.-</w:t>
      </w:r>
      <w:r w:rsidDel="00000000" w:rsidR="00000000" w:rsidRPr="00000000">
        <w:rPr>
          <w:rFonts w:ascii="Palatino Linotype" w:cs="Palatino Linotype" w:eastAsia="Palatino Linotype" w:hAnsi="Palatino Linotype"/>
          <w:sz w:val="22"/>
          <w:szCs w:val="22"/>
          <w:rtl w:val="0"/>
        </w:rPr>
        <w:t xml:space="preserve"> En el desahogo del Tercer punto del orden del día, referente a la aprobación del Acta de la Décimo Sexta Sesión ordinaria del STL de fecha 24 de febrero de 2023, se señaló que el documento en mención fue remitido en días pasados por medios electrónicos a cada integrante del Secretariado para hacerlo de su conocimiento. En ese tenor se solicitó a los presentes sus observaciones al respecto o bien su aprobación en los términos propuestos, por lo que se procedió a la votación correspondiente para emitir el siguiente acuerdo:</w:t>
      </w:r>
    </w:p>
    <w:p w:rsidR="00000000" w:rsidDel="00000000" w:rsidP="00000000" w:rsidRDefault="00000000" w:rsidRPr="00000000" w14:paraId="0000001D">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tbl>
      <w:tblPr>
        <w:tblStyle w:val="Table2"/>
        <w:tblW w:w="9111.0" w:type="dxa"/>
        <w:jc w:val="left"/>
        <w:tblInd w:w="-115.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555"/>
        <w:gridCol w:w="4556"/>
        <w:tblGridChange w:id="0">
          <w:tblGrid>
            <w:gridCol w:w="4555"/>
            <w:gridCol w:w="4556"/>
          </w:tblGrid>
        </w:tblGridChange>
      </w:tblGrid>
      <w:tr>
        <w:trPr>
          <w:cantSplit w:val="0"/>
          <w:tblHeader w:val="0"/>
        </w:trPr>
        <w:tc>
          <w:tcPr>
            <w:vAlign w:val="center"/>
          </w:tcPr>
          <w:p w:rsidR="00000000" w:rsidDel="00000000" w:rsidP="00000000" w:rsidRDefault="00000000" w:rsidRPr="00000000" w14:paraId="0000001E">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STL/XVII/ORD/2/2023</w:t>
            </w:r>
            <w:r w:rsidDel="00000000" w:rsidR="00000000" w:rsidRPr="00000000">
              <w:rPr>
                <w:rtl w:val="0"/>
              </w:rPr>
            </w:r>
          </w:p>
        </w:tc>
        <w:tc>
          <w:tcPr/>
          <w:p w:rsidR="00000000" w:rsidDel="00000000" w:rsidP="00000000" w:rsidRDefault="00000000" w:rsidRPr="00000000" w14:paraId="0000001F">
            <w:pPr>
              <w:spacing w:line="360" w:lineRule="auto"/>
              <w:ind w:left="357"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aprueba por unanimidad de votos el Acta de la Décimo Sexta Sesión ordinaria del STL de fecha 24 de febrero de 2023.</w:t>
            </w:r>
          </w:p>
        </w:tc>
      </w:tr>
    </w:tbl>
    <w:p w:rsidR="00000000" w:rsidDel="00000000" w:rsidP="00000000" w:rsidRDefault="00000000" w:rsidRPr="00000000" w14:paraId="00000020">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IV.- </w:t>
      </w:r>
      <w:r w:rsidDel="00000000" w:rsidR="00000000" w:rsidRPr="00000000">
        <w:rPr>
          <w:rFonts w:ascii="Palatino Linotype" w:cs="Palatino Linotype" w:eastAsia="Palatino Linotype" w:hAnsi="Palatino Linotype"/>
          <w:sz w:val="22"/>
          <w:szCs w:val="22"/>
          <w:rtl w:val="0"/>
        </w:rPr>
        <w:t xml:space="preserve">En el desarrollo del Cuarto punto se otorgó la palabra a José Martínez Vilchis, Comisionado Presidente del Instituto de Transparencia, Acceso a la Información Pública y Protección de Datos Personales del Estado de México y Municipios y Representante del Órgano Garante en este ejercicio.</w:t>
      </w:r>
    </w:p>
    <w:p w:rsidR="00000000" w:rsidDel="00000000" w:rsidP="00000000" w:rsidRDefault="00000000" w:rsidRPr="00000000" w14:paraId="00000022">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uso de la voz, el Comisionado Presidente del Infoem, dio la bienvenida y agradeció a todos los participantes por el desarrollo de la sesión. A su vez, reconoció públicamente la labor de todos los participantes del Secretariado Técnico Local por su compromiso y perseverancia en los trabajos que se han realizado a lo largo de los años. </w:t>
      </w:r>
    </w:p>
    <w:p w:rsidR="00000000" w:rsidDel="00000000" w:rsidP="00000000" w:rsidRDefault="00000000" w:rsidRPr="00000000" w14:paraId="00000024">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Hizo un breve recuento de los temas que se tocarán en la sesión como lo es la presentación de los avances de los compromisos del Plan de Acción Local, el lanzamiento del Estudio de Apertura Gubernamental del municipio, la metodología de evaluación del Plan de Acción Local y felicitó a todos por el gran esfuerzo que han mostrado para tener un mejor gobierno.</w:t>
      </w:r>
    </w:p>
    <w:p w:rsidR="00000000" w:rsidDel="00000000" w:rsidP="00000000" w:rsidRDefault="00000000" w:rsidRPr="00000000" w14:paraId="00000026">
      <w:pPr>
        <w:widowControl w:val="0"/>
        <w:spacing w:before="37" w:line="360" w:lineRule="auto"/>
        <w:ind w:right="-92"/>
        <w:jc w:val="both"/>
        <w:rPr>
          <w:rFonts w:ascii="Palatino Linotype" w:cs="Palatino Linotype" w:eastAsia="Palatino Linotype" w:hAnsi="Palatino Linotype"/>
          <w:sz w:val="22"/>
          <w:szCs w:val="22"/>
          <w:highlight w:val="green"/>
        </w:rPr>
      </w:pPr>
      <w:r w:rsidDel="00000000" w:rsidR="00000000" w:rsidRPr="00000000">
        <w:rPr>
          <w:rtl w:val="0"/>
        </w:rPr>
      </w:r>
    </w:p>
    <w:p w:rsidR="00000000" w:rsidDel="00000000" w:rsidP="00000000" w:rsidRDefault="00000000" w:rsidRPr="00000000" w14:paraId="00000027">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concluido el mensaje de bienvenida del Comisionado Vilchis, se procedió con el siguiente punto del orden del día.</w:t>
      </w:r>
    </w:p>
    <w:p w:rsidR="00000000" w:rsidDel="00000000" w:rsidP="00000000" w:rsidRDefault="00000000" w:rsidRPr="00000000" w14:paraId="00000028">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w:t>
      </w:r>
      <w:r w:rsidDel="00000000" w:rsidR="00000000" w:rsidRPr="00000000">
        <w:rPr>
          <w:rFonts w:ascii="Palatino Linotype" w:cs="Palatino Linotype" w:eastAsia="Palatino Linotype" w:hAnsi="Palatino Linotype"/>
          <w:sz w:val="22"/>
          <w:szCs w:val="22"/>
          <w:rtl w:val="0"/>
        </w:rPr>
        <w:t xml:space="preserve">  Para el desahogo del Quinto punto del orden del día, se dió la palabra a Sandra Meza Cortés, Directora General de Justicia Cotidiana de la Secretaría de Justicia, en representación de Iván Barrera Pineda, Subsecretario de Justicia de la Secretaría de Justicia y Derechos Humanos del Estado de México, para exponer la Presentación de avances de los Compromisos del Plan de Acción Local inscritos ante la OGP. </w:t>
      </w:r>
    </w:p>
    <w:p w:rsidR="00000000" w:rsidDel="00000000" w:rsidP="00000000" w:rsidRDefault="00000000" w:rsidRPr="00000000" w14:paraId="0000002A">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Directora General de Justicia, dio cuenta de los avances en el compromiso asumido por la Secretaria de Justicia, mencionó que como parte de los trabajos que les conciernen dentro de OGP local, a partir del 17 de marzo del 2022 se tuvo que hacer la constitución de un mecanismo de revisión independiente, el cual está integrado por </w:t>
      </w:r>
      <w:r w:rsidDel="00000000" w:rsidR="00000000" w:rsidRPr="00000000">
        <w:rPr>
          <w:rFonts w:ascii="Roboto" w:cs="Roboto" w:eastAsia="Roboto" w:hAnsi="Roboto"/>
          <w:sz w:val="15"/>
          <w:szCs w:val="15"/>
          <w:rtl w:val="0"/>
        </w:rPr>
        <w:t xml:space="preserve"> </w:t>
      </w:r>
      <w:r w:rsidDel="00000000" w:rsidR="00000000" w:rsidRPr="00000000">
        <w:rPr>
          <w:rFonts w:ascii="Palatino Linotype" w:cs="Palatino Linotype" w:eastAsia="Palatino Linotype" w:hAnsi="Palatino Linotype"/>
          <w:sz w:val="22"/>
          <w:szCs w:val="22"/>
          <w:rtl w:val="0"/>
        </w:rPr>
        <w:t xml:space="preserve">la Comisión de Derechos Humanos, por Innovación Cívica, representado por Daniel Rosemberg y también por el Secretariado Técnico Local, representado por  Carlos de la Peña Jimenez O ́Farril.  Como parte de la metodología, se encuentra la evaluación de la integración del  Plan de Acción Local, así como el nivel de participación de los representantes de Sociedad Civil y la integración de los distintos entes gubernamentales, dicha evaluación se realizó en fecha 28 de abril de 2022 y se hizo pública el 19 de diciembre de 2022. </w:t>
      </w:r>
    </w:p>
    <w:p w:rsidR="00000000" w:rsidDel="00000000" w:rsidP="00000000" w:rsidRDefault="00000000" w:rsidRPr="00000000" w14:paraId="0000002C">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siguiente paso consistió en reportar dentro de OGP local el cumplimiento puntual de cada uno de los compromisos tanto </w:t>
      </w:r>
      <w:r w:rsidDel="00000000" w:rsidR="00000000" w:rsidRPr="00000000">
        <w:rPr>
          <w:rFonts w:ascii="Palatino Linotype" w:cs="Palatino Linotype" w:eastAsia="Palatino Linotype" w:hAnsi="Palatino Linotype"/>
          <w:sz w:val="22"/>
          <w:szCs w:val="22"/>
          <w:rtl w:val="0"/>
        </w:rPr>
        <w:t xml:space="preserve">cocreados</w:t>
      </w:r>
      <w:r w:rsidDel="00000000" w:rsidR="00000000" w:rsidRPr="00000000">
        <w:rPr>
          <w:rFonts w:ascii="Palatino Linotype" w:cs="Palatino Linotype" w:eastAsia="Palatino Linotype" w:hAnsi="Palatino Linotype"/>
          <w:sz w:val="22"/>
          <w:szCs w:val="22"/>
          <w:rtl w:val="0"/>
        </w:rPr>
        <w:t xml:space="preserve"> como proactivos. En primer lugar, por parte del compromiso “Fortalecimiento y ampliación del programa de justicia itinerante y acceso a la justicia, caravanas por la justicia cotidiana”,  se tiene un 100% de cumplimiento, dado que en enero del año pasado se implementó una segunda caravana y según el mecanismo de evaluación, arrojó que se tuvo un nivel de participación alto dentro de los márgenes que contempla OGP. Además, se llevaron a cabo una serie de observaciones, entre ellas el considerar la permanencia de programas como Caravanas por la Justicia Cotidiana y revisar la viabilidad de llevar a cabo una segunda visita, además de considerar la participación de otras autoridades con el fin de promover la integración dentro de los servicios que se brindan. </w:t>
      </w:r>
    </w:p>
    <w:p w:rsidR="00000000" w:rsidDel="00000000" w:rsidP="00000000" w:rsidRDefault="00000000" w:rsidRPr="00000000" w14:paraId="0000002E">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siguiente compromiso llamado “Interoperabilidad institucional a través del Carnet Jurídico”, también cuenta con el 100% de cumplimiento y como parte de los antecedentes se encuentra la publicación de una serie de reformas en la Gaceta del Estado de México tanto a la Ley de Gobierno Digital, la Ley de Mejora Regulatoria y el Código Administrativo para poder crear el carnet jurídico y el expediente para trámites y servicios. El nueve de marzo se anunció el lanzamiento de esta carpeta ciudadana y gracias a ella las personas no tendrán la necesidad de llevar algunos otros documentos físicos, actualmente la carpeta ciudadana se integra por siete documentos entre ellos se encuentran las actas del registro civil, el acta de nacimiento, matrimonio, divorcio, también el certificado de no deudor alimentario moroso, la CURP, la licencia de conducir y el informe de no antecedentes penales. Como parte de la observación que hizo el mecanismo de revisión, era considerar qué sucederá para que el carnet jurídico no solamente se expida en las caravanas por la justicia cotidiana</w:t>
      </w:r>
    </w:p>
    <w:p w:rsidR="00000000" w:rsidDel="00000000" w:rsidP="00000000" w:rsidRDefault="00000000" w:rsidRPr="00000000" w14:paraId="00000030">
      <w:pPr>
        <w:shd w:fill="ffffff" w:val="clear"/>
        <w:spacing w:line="276" w:lineRule="auto"/>
        <w:ind w:left="180" w:right="24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tercer compromiso denominado “Fortalecimiento de los mecanismos alternativos de solución de controversias como medio de acceso a la justicia cotidiana”, de igual forma ya se cuenta con un 100% de cumplimiento y a la fecha ya se han certificado 37 servidores públicos en esta materia  y  la recomendación del mecanismo es continuar con esa  difusión de resolver conflictos a través de los Medios Alternos de Solución de Conflictos. </w:t>
      </w:r>
    </w:p>
    <w:p w:rsidR="00000000" w:rsidDel="00000000" w:rsidP="00000000" w:rsidRDefault="00000000" w:rsidRPr="00000000" w14:paraId="00000032">
      <w:pPr>
        <w:shd w:fill="ffffff" w:val="clea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Dentro de los avances del cuarto compromiso “Contar con una legislación estatal en materia de Justicia cotidiana” se tiene ya un cumplimiento del 100% dado que el 10 de marzo del año 2022 se publicó la Ley de Justicia Cotidiana del Estado de México; aquí únicamente el mecanismo de revisión hizo sus consideraciones advirtiendo que se tenía un cumplimiento y participación satisfactorio alto y no hicieron algún cuestionamiento adicional </w:t>
      </w:r>
    </w:p>
    <w:p w:rsidR="00000000" w:rsidDel="00000000" w:rsidP="00000000" w:rsidRDefault="00000000" w:rsidRPr="00000000" w14:paraId="00000034">
      <w:pPr>
        <w:shd w:fill="ffffff" w:val="clear"/>
        <w:spacing w:line="276"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siguiente compromiso denominado “Fortalecimiento de los medios de acceso a la transparencia pública, datos abiertos y de interés público”, el cual se lleva a cabo de manera coordinada con el Infoem,  de igual manera está reportado a un 100% , y cuenta con la integración de una encuesta de satisfacción para conocer la experiencia y comentarios de usuarios que accedan a dicha información, así como la creación de la guía virtual QUIO.</w:t>
      </w:r>
    </w:p>
    <w:p w:rsidR="00000000" w:rsidDel="00000000" w:rsidP="00000000" w:rsidRDefault="00000000" w:rsidRPr="00000000" w14:paraId="00000036">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7">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por lo que hace al compromiso “Generar alianzas con los municipios del Estado de México para la difusión del uso y beneficio de acceso a la información” al igual que los otros compromisos, se reportó un total del 100% de cumplimiento, esto gracias a  las acciones que llevó a cabo el Infoem de manera coordinada con las autoridades, además, se implementó el curso de datos abiertos en línea y dieciocho municipios se adhirieron al Modelo Regional de Transparencia.</w:t>
      </w:r>
    </w:p>
    <w:p w:rsidR="00000000" w:rsidDel="00000000" w:rsidP="00000000" w:rsidRDefault="00000000" w:rsidRPr="00000000" w14:paraId="00000038">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último compromiso, el mecanismo no hizo alguna acotación, simplemente refirieron que se tenía un nivel de cumplimiento satisfactorio alto y con esto se estarían dando por concluidos el 100% de los compromisos que se integraron como compromisos co creados dentro del Plan de Acción Local de Gobierno Abierto en el marco de OGP local, y ahora se encuentran en espera a que OGP se pronuncie respecto a las evaluaciones que  envió el mecanismo de revisión independiente ya que es el encargado de evaluar a todos los Planes de Acción Local. </w:t>
      </w:r>
    </w:p>
    <w:p w:rsidR="00000000" w:rsidDel="00000000" w:rsidP="00000000" w:rsidRDefault="00000000" w:rsidRPr="00000000" w14:paraId="0000003A">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terminada la exposición correspondiente, se abrió un espacio para comentarios de los presentes.</w:t>
      </w:r>
    </w:p>
    <w:p w:rsidR="00000000" w:rsidDel="00000000" w:rsidP="00000000" w:rsidRDefault="00000000" w:rsidRPr="00000000" w14:paraId="0000003C">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Representante Titular de la Sociedad Civil, Carlos de la Peña Jiménez O´Farril, reconoció el gran trabajo que ha realizado la Secretaría y les extendió una felicitación  por los trabajos que ha realizado. </w:t>
      </w:r>
    </w:p>
    <w:p w:rsidR="00000000" w:rsidDel="00000000" w:rsidP="00000000" w:rsidRDefault="00000000" w:rsidRPr="00000000" w14:paraId="0000003E">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su vez, el Representante Suplente de la Sociedad Civil, Enrique Serrano Arenas, mencionó la posibilidad de tener más detalles cuantitativos ya que sería muy conveniente que se pudiera desglosar todo ese gran trabajo. Además, puntualizó que es un ejercicio que debe permanecer y enriquecerse y que sería importante tener una métrica para saber qué municipios visitaron, cuántas jornadas y caravanas se realizaron, cuántas personas asistieron, así como el trámite más solicitado. </w:t>
      </w:r>
    </w:p>
    <w:p w:rsidR="00000000" w:rsidDel="00000000" w:rsidP="00000000" w:rsidRDefault="00000000" w:rsidRPr="00000000" w14:paraId="00000040">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lo anterior, Sandra Meza mencionó que actualmente son 25 dependencias las que arropan este programa, ofreciendo así 97 trámites y servicios juridicos; también comentó que mandaría una tarjeta con todos los datos que solicitó el Representante Suplente de Sociedad Civil, sin embargo resaltó que la página que se tiene de las Caravanas por la Justicia Cotidiana, contiene de igual manera todos esos datos. </w:t>
      </w:r>
    </w:p>
    <w:p w:rsidR="00000000" w:rsidDel="00000000" w:rsidP="00000000" w:rsidRDefault="00000000" w:rsidRPr="00000000" w14:paraId="00000042">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Representante Titular de la Sociedad Civil, Carlos de la Peña Jiménez O´Farril, precisó que al final del día se cumplieron con los objetivos y lo más rescatable es que a pesar de tener distintas metodologías se logró el acercamiento de la ciudadanía a distintos programas. </w:t>
      </w:r>
    </w:p>
    <w:p w:rsidR="00000000" w:rsidDel="00000000" w:rsidP="00000000" w:rsidRDefault="00000000" w:rsidRPr="00000000" w14:paraId="00000044">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Comisionado del Infoem Luis Gustavo Parra Noriega, extendió una felicitación y agradecimiento por todo el esfuerzo de coordinación y colaboración que se ha tenido por parte de todas las instancias, mencionó que todo el trabajo ha dado frutos y que el Infoem como líder de implementación ha podido cooperar con el Modelo Regional, posteriormente solicitó a Adriana Yadira Cardenas Tagle, Directora de Transparencia, Acceso a la Información Pública y Gobierno Abierto, informe sobre el seguimiento que se le ha dado. </w:t>
      </w:r>
    </w:p>
    <w:p w:rsidR="00000000" w:rsidDel="00000000" w:rsidP="00000000" w:rsidRDefault="00000000" w:rsidRPr="00000000" w14:paraId="00000046">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uso de la voz, la Directora General de Transparencia, Acceso a la Información Pública y Gobierno abierto, explicó que el Modelo Regional de Transparencia Municipal es un proyecto que se inició en el año 2022, y conforme a los avances, menciona que en el momento en que se realizó el diagnóstico inicial respecto de las 5 dimensiones por las que está compuesto y los 18 ayuntamientos que formaron parte, varias herramientas específicas no se tenían construidas; sin embargo, con fecha de corte al 5 de abril, ha habido un gran avance. En ese sentido el cumpliento de Modelo Regional por parte de los ayuntamientos es del 56.7% y se espera que para el término del lanzamiento de la convocatoria en materia de Transparencia Proactiva, se pueda estar por arriba del 80%.</w:t>
      </w:r>
    </w:p>
    <w:p w:rsidR="00000000" w:rsidDel="00000000" w:rsidP="00000000" w:rsidRDefault="00000000" w:rsidRPr="00000000" w14:paraId="00000048">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tema de Fortalecimiento para el Acceso a la Información en cual el Infoem es líder de implementación en el compromiso con la Secretaría de Justicia, se desarrolló QUIO, el cual, es una interfaz amigable e inteligente, en donde con el apoyo de todas las unidades administrativas del Infoem se generaron 6 apartados. Dentro de esos apartados se encuentra el de “ciudadanía”, en donde se pueden encontrar temas de interés específicos; además, cuenta con un chat en donde las personas pueden realizar preguntas específicas y con un apartado de evaluación de la información, para que las personas puedan asegurar que la información que se presenta dentro de la plataforma es útil. </w:t>
      </w:r>
    </w:p>
    <w:p w:rsidR="00000000" w:rsidDel="00000000" w:rsidP="00000000" w:rsidRDefault="00000000" w:rsidRPr="00000000" w14:paraId="0000004A">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lo comentado, Enrique Serrano Arenas, solicitó que se le pudieran hacer llegar todos los detalles y la información que presentó la Directora General para tener más precisión de los municipios que participaron, así como de sus avances, con la finalidad de que el núcleo de sociedad civil y la población en general, lo pueda consultar. Al respecto, la Directora General mencionó que toda la información del Modelo Regional de Transparencia ya se encuentra disponible en la página, para que la ciudadanía lo pueda conocer, ya que considera que es información de interés de todas y todos. </w:t>
      </w:r>
    </w:p>
    <w:p w:rsidR="00000000" w:rsidDel="00000000" w:rsidP="00000000" w:rsidRDefault="00000000" w:rsidRPr="00000000" w14:paraId="0000004C">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Representante Titular de Sociedad Civil, Carlos de la Peña Jiménez O´Farril, hace mención de que esta sesión del Secretariado Técnico Local es diferente a otras, toda vez de que nos encontramos en veda electoral y como resultado no se puedan dar cifras precisas. Así mismo expresa su conformidad con los proyectos que han trabajado debido a que es un trabajo compartido también con Sociedad Civil y eso es lo que le da mayor fortaleza. </w:t>
      </w:r>
    </w:p>
    <w:p w:rsidR="00000000" w:rsidDel="00000000" w:rsidP="00000000" w:rsidRDefault="00000000" w:rsidRPr="00000000" w14:paraId="0000004E">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escuchadas las intervenciones de los presentes, se continuó con el orden del día previsto.</w:t>
      </w:r>
    </w:p>
    <w:p w:rsidR="00000000" w:rsidDel="00000000" w:rsidP="00000000" w:rsidRDefault="00000000" w:rsidRPr="00000000" w14:paraId="00000050">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 </w:t>
      </w:r>
      <w:r w:rsidDel="00000000" w:rsidR="00000000" w:rsidRPr="00000000">
        <w:rPr>
          <w:rFonts w:ascii="Palatino Linotype" w:cs="Palatino Linotype" w:eastAsia="Palatino Linotype" w:hAnsi="Palatino Linotype"/>
          <w:sz w:val="22"/>
          <w:szCs w:val="22"/>
          <w:rtl w:val="0"/>
        </w:rPr>
        <w:t xml:space="preserve">Para el desahogo del Sexto punto del orden del día, relativo a la Presentación para Lanzamiento del Estudio de Apertura Gubernamental en Municipios, como parte del Compromiso Proactivo del Instituto de Transparencia, Acceso a la Información Pública y Protección de Datos Personales del Estado de México y Municipios, se dió el uso de la voz a Luis Gustavo Parra Noriega, Comisionado del Infoem.</w:t>
      </w:r>
    </w:p>
    <w:p w:rsidR="00000000" w:rsidDel="00000000" w:rsidP="00000000" w:rsidRDefault="00000000" w:rsidRPr="00000000" w14:paraId="00000052">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Representante Suplente del Órgano Garante, Luis Gustavo Parra Noriega, comentó que dicho trabajo está enmarcado en la Línea de acción número 1 del Compromiso Proactivo del infoem, el cual, consiste en la construcción de un Estudio de Condiciones de Apertura Gubernamental que sirva como referente para trazar acciones destinadas a promover la agenda de Gobierno Abierto en los municipios del Estado de México. </w:t>
      </w:r>
    </w:p>
    <w:p w:rsidR="00000000" w:rsidDel="00000000" w:rsidP="00000000" w:rsidRDefault="00000000" w:rsidRPr="00000000" w14:paraId="00000054">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Resaltó que se logró articular  una óptima participación de ciudadanos y servidores públicos de distintos municipios y que gracias a ello se han detectado nuevas áreas de oportunidad a fin de reforzar acciones que brinden la posibilidad de implementar esquemas de apertura gubernamental. Así mismo, externó una felicitación a la Dirección General de Transparencia, Acceso a la Información Pública y Gobierno Abierto del Infoem, así como un agradecimiento a los Titulares de las distintas Unidades de Transparencia, quienes se dieron a la tarea de contestar el formulario y así ayudar a tener una idea más clara de todas las oportunidades que se tienen en este campo. </w:t>
      </w:r>
    </w:p>
    <w:p w:rsidR="00000000" w:rsidDel="00000000" w:rsidP="00000000" w:rsidRDefault="00000000" w:rsidRPr="00000000" w14:paraId="00000056">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mencionó que el Estudio de Apertura estará publicado en la página oficial del Infoem, para que la ciudadanía lo pueda consultar y descargar para su libre distribución en formato de Datos Abiertos, y así animar a más personas para que se involucren activamente en la solución colaborativa de problemas públicos. </w:t>
      </w:r>
    </w:p>
    <w:p w:rsidR="00000000" w:rsidDel="00000000" w:rsidP="00000000" w:rsidRDefault="00000000" w:rsidRPr="00000000" w14:paraId="00000058">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widowControl w:val="0"/>
        <w:spacing w:before="37" w:line="360" w:lineRule="auto"/>
        <w:ind w:right="-92"/>
        <w:jc w:val="both"/>
        <w:rPr>
          <w:rFonts w:ascii="Palatino Linotype" w:cs="Palatino Linotype" w:eastAsia="Palatino Linotype" w:hAnsi="Palatino Linotype"/>
          <w:sz w:val="22"/>
          <w:szCs w:val="22"/>
          <w:highlight w:val="white"/>
        </w:rPr>
      </w:pPr>
      <w:r w:rsidDel="00000000" w:rsidR="00000000" w:rsidRPr="00000000">
        <w:rPr>
          <w:rFonts w:ascii="Palatino Linotype" w:cs="Palatino Linotype" w:eastAsia="Palatino Linotype" w:hAnsi="Palatino Linotype"/>
          <w:sz w:val="22"/>
          <w:szCs w:val="22"/>
          <w:highlight w:val="white"/>
          <w:rtl w:val="0"/>
        </w:rPr>
        <w:t xml:space="preserve">En uso de la voz, el Representante suplente de Sociedad Civil, Enrique Serrano, celebró el esfuerzo que se ha hecho por hacer una lectura ágil mediante gráficos de las partes importantes, ya que así se puede digerir de manera más fácil; además, sugiere incluir sitios y micrositios en donde se ubiquen los enlaces de los contenidos para que puedan ser consultados de manera directa.  Comenta también que quizá la información no es tan amplia pero que es un primer adelanto, en ese sentido aún existen muchas áreas de oportunidad de estudio y a su parecer podría presentarse en el Congreso para que de esa manera varios legisladores tomen nota y también presentarlo en los municipios que más han participado hasta ahorita en la integración de los Secretariados Técnicos Municipales. </w:t>
      </w:r>
    </w:p>
    <w:p w:rsidR="00000000" w:rsidDel="00000000" w:rsidP="00000000" w:rsidRDefault="00000000" w:rsidRPr="00000000" w14:paraId="0000005A">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respecto a lo comentado, Jose Martínez Vilchis, Comisionado Presidente del Infoem, recalcó la importancia de la idea planteada por Enrique Serrano Arenas,  pues en nuestro país no se han presenciado ejercicios de apertura gubernamental.  Menciona que actualmente estamos en presencia de una reducción de la democracia en México y lamenta lo que está ocurriendo con el INAI y con el INE. </w:t>
      </w:r>
    </w:p>
    <w:p w:rsidR="00000000" w:rsidDel="00000000" w:rsidP="00000000" w:rsidRDefault="00000000" w:rsidRPr="00000000" w14:paraId="0000005C">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resalta la importancia de refrendar ejercicios de apertura gubernamental como el que hoy se está presentando, pues va en el sentido correcto de hacer que el gobierno rinda más cuentas a la sociedad. Finalmente celebra la existencia de estos estudios y la participación tanto de Sociedad Civil como del Poder Judicial, y está de acuerdo en que hay que trabajar aún más para lograr resultados. </w:t>
      </w:r>
    </w:p>
    <w:p w:rsidR="00000000" w:rsidDel="00000000" w:rsidP="00000000" w:rsidRDefault="00000000" w:rsidRPr="00000000" w14:paraId="0000005E">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Dado que este punto fue de carácter informativo se procedió al desahogo del siguiente punto del orden del día.</w:t>
      </w:r>
    </w:p>
    <w:p w:rsidR="00000000" w:rsidDel="00000000" w:rsidP="00000000" w:rsidRDefault="00000000" w:rsidRPr="00000000" w14:paraId="00000060">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VII.- </w:t>
      </w:r>
      <w:r w:rsidDel="00000000" w:rsidR="00000000" w:rsidRPr="00000000">
        <w:rPr>
          <w:rFonts w:ascii="Palatino Linotype" w:cs="Palatino Linotype" w:eastAsia="Palatino Linotype" w:hAnsi="Palatino Linotype"/>
          <w:sz w:val="22"/>
          <w:szCs w:val="22"/>
          <w:rtl w:val="0"/>
        </w:rPr>
        <w:t xml:space="preserve">En el desarrollo del Séptimo punto del orden día, referente a la Presentación y, en su caso aprobación de la Metodología de Evaluación del Plan de Acción Local, se dió de nuevo el uso de la voz a Luis Gustavo Parra Noriega, Comisionado del Infoem. </w:t>
      </w:r>
    </w:p>
    <w:p w:rsidR="00000000" w:rsidDel="00000000" w:rsidP="00000000" w:rsidRDefault="00000000" w:rsidRPr="00000000" w14:paraId="00000062">
      <w:pPr>
        <w:shd w:fill="ffffff" w:val="clear"/>
        <w:spacing w:line="276"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3">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uso de la voz, menciona que este punto marca el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arranque de la etapa final del primer Plan de Acción Local que se ha ido impulsando y trabajando a través de todos estos mecanismos. En primer lugar, pone a consideración la Metodología de Evaluación, la cual es una herramienta que permite evaluar de manera integral los procesos de construcción e implementación de los compromisos proactivos del Plan, recalca que es importante señalar que no se trata únicamente de validar o no el cumplimiento de los objetivos que se establecieron en las respectivas hojas de ruta, sino de llevar a cabo un análisis serio sobre la calidad de la deliberación y la cooperación entre los diferentes entes implementadores, los diferentes actores y la sociedad civil participante de su ejecución, con esto, quiere decir que se trata de un examen cualitativo antes que cuantitativo por lo que los resultados que surjan de la evaluación deberán leerse como hallazgos descriptivos sobre la manera en que se fueron articulando los Pilares de gobierno abierto en cada compromiso.</w:t>
      </w:r>
    </w:p>
    <w:p w:rsidR="00000000" w:rsidDel="00000000" w:rsidP="00000000" w:rsidRDefault="00000000" w:rsidRPr="00000000" w14:paraId="00000064">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su vez señaló que esta herramienta de evaluación cuenta con  tres dimensiones de análisis enfocadas a las tres etapas de elaboración de los compromisos, en primer lugar se refiere  propiamente al diseño, en segundo a su implementación y en tercero al impacto obtenido a partir de la puesta en marcha de cada uno. De modo que para su aplicación, se elaboraron cuarenta preguntas que se responden de dos maneras, una de manera puntual contestando sí y no, y por otro lado de manera abierta, en la que las personas tendrán la oportunidad de desagregar el conjunto de información, lo cual permite una exploración a profundidad de las etapas. Cabe mencionar que a las respuestas de sí o no, les fueron asignados los valores de uno cuando es Sí y de cero cuando es No, de tal forma que habrá un máximo de cuarenta puntos mismos que permitirán identificar el nivel de cumplimiento de los compromisos </w:t>
      </w:r>
    </w:p>
    <w:p w:rsidR="00000000" w:rsidDel="00000000" w:rsidP="00000000" w:rsidRDefault="00000000" w:rsidRPr="00000000" w14:paraId="00000066">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menciona que el proceso de evaluación sugerido consiste en tres evaluaciones paralelas e independientes, la primera de ellas será llevada a cabo por los líderes de implementación como una especie de autodiagnóstico, la segunda por  integrantes de la sociedad civil y, finalmente, se le solicitará a dos académicos externos que participen en dicha evaluación, de tal manera que con los resultados obtenidos se sacará una media que servirá para ubicar el grado de cumplimiento por compromiso y un dato global del  plan. </w:t>
      </w:r>
    </w:p>
    <w:p w:rsidR="00000000" w:rsidDel="00000000" w:rsidP="00000000" w:rsidRDefault="00000000" w:rsidRPr="00000000" w14:paraId="00000068">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resaltó que para recabar las respuestas se habilitará un formulario en el micrositio del Secretario Técnico Local dentro de la página del infoem en el que se podrá vaciar la información y subir las evidencias que cada ente considere son la base de lo que contestó, para que de manera pública y transparente se pueda dar seguimiento a esta fase del plan, cabe mencionar también  que este mecanismo estaría abierto por 30 días hábiles que correrán a partir de que esté disponible el apartado en el sitio web correspondiente.</w:t>
      </w:r>
    </w:p>
    <w:p w:rsidR="00000000" w:rsidDel="00000000" w:rsidP="00000000" w:rsidRDefault="00000000" w:rsidRPr="00000000" w14:paraId="0000006A">
      <w:pPr>
        <w:shd w:fill="ffffff" w:val="clea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el Facilitador preguntó a los presentes si existía algún comentario. Sin alguna intervención por parte de los presentes,  procedió a solicitar que expresaran su consentimiento para que la Metodología de Evaluación del Plan de Acción Local fuera aprobada, una vez recabada la votación se tomó el siguiente acuerdo:</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tbl>
      <w:tblPr>
        <w:tblStyle w:val="Table3"/>
        <w:tblW w:w="9111.0" w:type="dxa"/>
        <w:jc w:val="left"/>
        <w:tblInd w:w="-115.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555"/>
        <w:gridCol w:w="4556"/>
        <w:tblGridChange w:id="0">
          <w:tblGrid>
            <w:gridCol w:w="4555"/>
            <w:gridCol w:w="4556"/>
          </w:tblGrid>
        </w:tblGridChange>
      </w:tblGrid>
      <w:tr>
        <w:trPr>
          <w:cantSplit w:val="0"/>
          <w:tblHeader w:val="0"/>
        </w:trPr>
        <w:tc>
          <w:tcPr>
            <w:vAlign w:val="center"/>
          </w:tcPr>
          <w:p w:rsidR="00000000" w:rsidDel="00000000" w:rsidP="00000000" w:rsidRDefault="00000000" w:rsidRPr="00000000" w14:paraId="0000006E">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STL/XVII/ORD/3/2023</w:t>
            </w:r>
            <w:r w:rsidDel="00000000" w:rsidR="00000000" w:rsidRPr="00000000">
              <w:rPr>
                <w:rtl w:val="0"/>
              </w:rPr>
            </w:r>
          </w:p>
        </w:tc>
        <w:tc>
          <w:tcPr/>
          <w:p w:rsidR="00000000" w:rsidDel="00000000" w:rsidP="00000000" w:rsidRDefault="00000000" w:rsidRPr="00000000" w14:paraId="0000006F">
            <w:pPr>
              <w:spacing w:line="360" w:lineRule="auto"/>
              <w:ind w:left="357"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aprueba por unanimidad de votos la Metodología de Evaluación del Plan de Acción Local.</w:t>
            </w:r>
          </w:p>
        </w:tc>
      </w:tr>
    </w:tbl>
    <w:p w:rsidR="00000000" w:rsidDel="00000000" w:rsidP="00000000" w:rsidRDefault="00000000" w:rsidRPr="00000000" w14:paraId="00000070">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1">
      <w:pPr>
        <w:shd w:fill="ffffff" w:val="clea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VIII. </w:t>
      </w:r>
      <w:r w:rsidDel="00000000" w:rsidR="00000000" w:rsidRPr="00000000">
        <w:rPr>
          <w:rFonts w:ascii="Palatino Linotype" w:cs="Palatino Linotype" w:eastAsia="Palatino Linotype" w:hAnsi="Palatino Linotype"/>
          <w:sz w:val="22"/>
          <w:szCs w:val="22"/>
          <w:rtl w:val="0"/>
        </w:rPr>
        <w:t xml:space="preserve">En el desarrollo del Octavo punto del orden del día, concerniente al Seguimiento de Acuerdos, se compartió que se encuentra en registro</w:t>
      </w:r>
      <w:r w:rsidDel="00000000" w:rsidR="00000000" w:rsidRPr="00000000">
        <w:rPr>
          <w:rFonts w:ascii="Arial" w:cs="Arial" w:eastAsia="Arial" w:hAnsi="Arial"/>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únicamente el avance del compromiso de la Secretaría de la Contraloría,  por lo que abrió un espacio por si alguno de los presentes deseaba intervenir al respecto. </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w:t>
      </w:r>
      <w:r w:rsidDel="00000000" w:rsidR="00000000" w:rsidRPr="00000000">
        <w:rPr>
          <w:rFonts w:ascii="Palatino Linotype" w:cs="Palatino Linotype" w:eastAsia="Palatino Linotype" w:hAnsi="Palatino Linotype"/>
          <w:sz w:val="22"/>
          <w:szCs w:val="22"/>
          <w:rtl w:val="0"/>
        </w:rPr>
        <w:t xml:space="preserve">Marco Antonio Becerril Garcés, </w:t>
      </w:r>
      <w:r w:rsidDel="00000000" w:rsidR="00000000" w:rsidRPr="00000000">
        <w:rPr>
          <w:rFonts w:ascii="Palatino Linotype" w:cs="Palatino Linotype" w:eastAsia="Palatino Linotype" w:hAnsi="Palatino Linotype"/>
          <w:sz w:val="22"/>
          <w:szCs w:val="22"/>
          <w:rtl w:val="0"/>
        </w:rPr>
        <w:t xml:space="preserve">comentó que en fecha 17 de marzo se llevó a cabo la sesión de sensibilización con el apoyo del Infoem, con el apoyo de Bernardo Aguilar Rodríguez, Subdirector de Gobierno Abierto y Transparencia Proactiva, quien  fue el encargado de dar la presentación dirigida principalmente a contralores municipales, a integrantes de la Secretaría Ejecutiva del Sistema Anticorrupción, a la Contraloría del Poder Legislativo, y algunas personas de organizaciones de Sociedad Civil. De igual manera puntualizó que esperan hacer una convocatoria para tener un acercamiento con Sociedad Civil y empezar los trabajos de manera conjunta. </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Carlos de la Peña Jiménez O´Farril comentó que días atrás tuvieron la oportunidad de platicar y al día de hoy reiteró su compromiso, finalmente mencionó que estará  informando al núcleo de la sociedad para invitarlos a que puedan colaborar en este proyecto y al Secretario Técnico Local para que pueda enriquecer el proceso.</w:t>
      </w:r>
    </w:p>
    <w:p w:rsidR="00000000" w:rsidDel="00000000" w:rsidP="00000000" w:rsidRDefault="00000000" w:rsidRPr="00000000" w14:paraId="00000077">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Dado que este punto fue de carácter informativo se procedió al desahogo del siguiente punto del orden del día.</w:t>
      </w:r>
    </w:p>
    <w:p w:rsidR="00000000" w:rsidDel="00000000" w:rsidP="00000000" w:rsidRDefault="00000000" w:rsidRPr="00000000" w14:paraId="00000079">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IX</w:t>
      </w:r>
      <w:r w:rsidDel="00000000" w:rsidR="00000000" w:rsidRPr="00000000">
        <w:rPr>
          <w:rFonts w:ascii="Palatino Linotype" w:cs="Palatino Linotype" w:eastAsia="Palatino Linotype" w:hAnsi="Palatino Linotype"/>
          <w:sz w:val="22"/>
          <w:szCs w:val="22"/>
          <w:rtl w:val="0"/>
        </w:rPr>
        <w:t xml:space="preserve">. En relación con el punto de Asuntos Generales, Enrique Serrano Arenas, Representante Suplente de Sociedad Civil, solicitó la palabra. </w:t>
      </w:r>
    </w:p>
    <w:p w:rsidR="00000000" w:rsidDel="00000000" w:rsidP="00000000" w:rsidRDefault="00000000" w:rsidRPr="00000000" w14:paraId="0000007B">
      <w:pPr>
        <w:shd w:fill="ffffff" w:val="clear"/>
        <w:spacing w:line="276" w:lineRule="auto"/>
        <w:rPr>
          <w:rFonts w:ascii="Roboto" w:cs="Roboto" w:eastAsia="Roboto" w:hAnsi="Roboto"/>
          <w:sz w:val="15"/>
          <w:szCs w:val="15"/>
        </w:rPr>
      </w:pPr>
      <w:r w:rsidDel="00000000" w:rsidR="00000000" w:rsidRPr="00000000">
        <w:rPr>
          <w:rtl w:val="0"/>
        </w:rPr>
      </w:r>
    </w:p>
    <w:p w:rsidR="00000000" w:rsidDel="00000000" w:rsidP="00000000" w:rsidRDefault="00000000" w:rsidRPr="00000000" w14:paraId="0000007C">
      <w:pPr>
        <w:shd w:fill="ffffff" w:val="clear"/>
        <w:spacing w:line="276" w:lineRule="auto"/>
        <w:rPr>
          <w:rFonts w:ascii="Roboto" w:cs="Roboto" w:eastAsia="Roboto" w:hAnsi="Roboto"/>
          <w:sz w:val="15"/>
          <w:szCs w:val="15"/>
        </w:rPr>
      </w:pPr>
      <w:r w:rsidDel="00000000" w:rsidR="00000000" w:rsidRPr="00000000">
        <w:rPr>
          <w:rtl w:val="0"/>
        </w:rPr>
      </w:r>
    </w:p>
    <w:p w:rsidR="00000000" w:rsidDel="00000000" w:rsidP="00000000" w:rsidRDefault="00000000" w:rsidRPr="00000000" w14:paraId="0000007D">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uso de la voz se sumó al comentario del  comisionado presidente José Martínez Vilchis y resaltó la productividad que ha tenido el INAI desde su creación, pues ha emitido más de ocho millones de resoluciones y de estas, dos millones han sido sobre acceso a la información del ejercicio de los recursos públicos. Finalizó mencionando que todas las Instituciones Autónomas son perfectibles pero de ahí a que resulten innecesarias hay mucha diferencia.</w:t>
      </w:r>
    </w:p>
    <w:p w:rsidR="00000000" w:rsidDel="00000000" w:rsidP="00000000" w:rsidRDefault="00000000" w:rsidRPr="00000000" w14:paraId="0000007E">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X</w:t>
      </w:r>
      <w:r w:rsidDel="00000000" w:rsidR="00000000" w:rsidRPr="00000000">
        <w:rPr>
          <w:rFonts w:ascii="Palatino Linotype" w:cs="Palatino Linotype" w:eastAsia="Palatino Linotype" w:hAnsi="Palatino Linotype"/>
          <w:sz w:val="22"/>
          <w:szCs w:val="22"/>
          <w:rtl w:val="0"/>
        </w:rPr>
        <w:t xml:space="preserve">.- No habiendo más puntos que tratar, siendo las once horas con cincuenta y nueve minutos del día 28 de abril de 2023, se dio por terminada la Décimo Séptima Sesión Ordinaria del Secretario Técnico Local para el Ejercicio de Gobierno Abierto en el Estado de México. </w:t>
      </w:r>
    </w:p>
    <w:p w:rsidR="00000000" w:rsidDel="00000000" w:rsidP="00000000" w:rsidRDefault="00000000" w:rsidRPr="00000000" w14:paraId="00000080">
      <w:pPr>
        <w:widowControl w:val="0"/>
        <w:spacing w:before="37" w:line="360" w:lineRule="auto"/>
        <w:ind w:right="-92"/>
        <w:jc w:val="both"/>
        <w:rPr>
          <w:rFonts w:ascii="Palatino Linotype" w:cs="Palatino Linotype" w:eastAsia="Palatino Linotype" w:hAnsi="Palatino Linotype"/>
          <w:sz w:val="22"/>
          <w:szCs w:val="22"/>
        </w:rPr>
      </w:pPr>
      <w:r w:rsidDel="00000000" w:rsidR="00000000" w:rsidRPr="00000000">
        <w:rPr>
          <w:rtl w:val="0"/>
        </w:rPr>
      </w:r>
    </w:p>
    <w:tbl>
      <w:tblPr>
        <w:tblStyle w:val="Table4"/>
        <w:tblW w:w="9727.0" w:type="dxa"/>
        <w:jc w:val="center"/>
        <w:tblLayout w:type="fixed"/>
        <w:tblLook w:val="0400"/>
      </w:tblPr>
      <w:tblGrid>
        <w:gridCol w:w="4854"/>
        <w:gridCol w:w="4873"/>
        <w:tblGridChange w:id="0">
          <w:tblGrid>
            <w:gridCol w:w="4854"/>
            <w:gridCol w:w="4873"/>
          </w:tblGrid>
        </w:tblGridChange>
      </w:tblGrid>
      <w:tr>
        <w:trPr>
          <w:cantSplit w:val="0"/>
          <w:trHeight w:val="2952" w:hRule="atLeast"/>
          <w:tblHeader w:val="0"/>
        </w:trPr>
        <w:tc>
          <w:tcPr/>
          <w:p w:rsidR="00000000" w:rsidDel="00000000" w:rsidP="00000000" w:rsidRDefault="00000000" w:rsidRPr="00000000" w14:paraId="00000081">
            <w:pPr>
              <w:spacing w:line="360" w:lineRule="auto"/>
              <w:jc w:val="left"/>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2">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3">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4">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JOSÉ MARTÍNEZ VILCHIS</w:t>
            </w:r>
          </w:p>
          <w:p w:rsidR="00000000" w:rsidDel="00000000" w:rsidP="00000000" w:rsidRDefault="00000000" w:rsidRPr="00000000" w14:paraId="00000085">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COMISIONADO PRESIDENTE DEL INFOEM Y REPRESENTANTE TITULAR DEL ÓRGANO GARANTE</w:t>
            </w:r>
          </w:p>
          <w:p w:rsidR="00000000" w:rsidDel="00000000" w:rsidP="00000000" w:rsidRDefault="00000000" w:rsidRPr="00000000" w14:paraId="00000086">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7">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8">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9">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A">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B">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FABIOLA CATALINA APARICIO PERALES, </w:t>
            </w:r>
          </w:p>
          <w:p w:rsidR="00000000" w:rsidDel="00000000" w:rsidP="00000000" w:rsidRDefault="00000000" w:rsidRPr="00000000" w14:paraId="0000008C">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CONSEJERA DE LA JUDICATURA, EN REPRESENTACIÓN DEL</w:t>
            </w:r>
          </w:p>
          <w:p w:rsidR="00000000" w:rsidDel="00000000" w:rsidP="00000000" w:rsidRDefault="00000000" w:rsidRPr="00000000" w14:paraId="0000008D">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TRIBUNAL SUPERIOR DE </w:t>
            </w:r>
          </w:p>
          <w:p w:rsidR="00000000" w:rsidDel="00000000" w:rsidP="00000000" w:rsidRDefault="00000000" w:rsidRPr="00000000" w14:paraId="0000008E">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JUSTICIA DEL ESTADO DE MÉXICO</w:t>
            </w:r>
          </w:p>
          <w:p w:rsidR="00000000" w:rsidDel="00000000" w:rsidP="00000000" w:rsidRDefault="00000000" w:rsidRPr="00000000" w14:paraId="0000008F">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0">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1">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2">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3">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4">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CARLOS DE LA PEÑA JIMÉNEZ O´FARRIL</w:t>
            </w:r>
          </w:p>
          <w:p w:rsidR="00000000" w:rsidDel="00000000" w:rsidP="00000000" w:rsidRDefault="00000000" w:rsidRPr="00000000" w14:paraId="00000095">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REPRESENTANTE TITULAR DE LA SOCIEDAD CIVIL</w:t>
            </w:r>
          </w:p>
          <w:p w:rsidR="00000000" w:rsidDel="00000000" w:rsidP="00000000" w:rsidRDefault="00000000" w:rsidRPr="00000000" w14:paraId="00000096">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7">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8">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99">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A">
            <w:pPr>
              <w:spacing w:line="360" w:lineRule="auto"/>
              <w:jc w:val="left"/>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B">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C">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LUIS GUSTAVO PARRA NORIEGA COMISIONADO DEL INFOEM Y REPRESENTANTE SUPLENTE DEL ÓRGANO GARANTE</w:t>
            </w:r>
          </w:p>
          <w:p w:rsidR="00000000" w:rsidDel="00000000" w:rsidP="00000000" w:rsidRDefault="00000000" w:rsidRPr="00000000" w14:paraId="0000009D">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E">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F">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0">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1">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2">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MARCO ANTONIO BECERRIL GARCÉS</w:t>
            </w:r>
          </w:p>
          <w:p w:rsidR="00000000" w:rsidDel="00000000" w:rsidP="00000000" w:rsidRDefault="00000000" w:rsidRPr="00000000" w14:paraId="000000A3">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JEFE DE LA UNIDAD DE PREVENCIÓN DE LA CORRUPCIÓN DE LA SECRETARÍA DE LA CONTRALORÍA DEL ESTADO DE MÉXICO</w:t>
            </w:r>
          </w:p>
          <w:p w:rsidR="00000000" w:rsidDel="00000000" w:rsidP="00000000" w:rsidRDefault="00000000" w:rsidRPr="00000000" w14:paraId="000000A4">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5">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6">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7">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8">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9">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A">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ENRIQUE SERRANO ARENAS</w:t>
            </w:r>
          </w:p>
          <w:p w:rsidR="00000000" w:rsidDel="00000000" w:rsidP="00000000" w:rsidRDefault="00000000" w:rsidRPr="00000000" w14:paraId="000000AB">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REPRESENTANTE SUPLENTE DE LA SOCIEDAD CIVIL</w:t>
            </w:r>
          </w:p>
          <w:p w:rsidR="00000000" w:rsidDel="00000000" w:rsidP="00000000" w:rsidRDefault="00000000" w:rsidRPr="00000000" w14:paraId="000000AC">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D">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952" w:hRule="atLeast"/>
          <w:tblHeader w:val="0"/>
        </w:trPr>
        <w:tc>
          <w:tcPr/>
          <w:p w:rsidR="00000000" w:rsidDel="00000000" w:rsidP="00000000" w:rsidRDefault="00000000" w:rsidRPr="00000000" w14:paraId="000000AE">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AF">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0">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1">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ADRIANA YADIRA CARDENAS TAGLE</w:t>
            </w:r>
          </w:p>
          <w:p w:rsidR="00000000" w:rsidDel="00000000" w:rsidP="00000000" w:rsidRDefault="00000000" w:rsidRPr="00000000" w14:paraId="000000B2">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DIRECTORA GENERAL DE TRANSPARENCIA, ACCESO A LA INFORMACIÓN PÚBLICA Y GOBIERNO ABIERTO.</w:t>
            </w:r>
          </w:p>
          <w:p w:rsidR="00000000" w:rsidDel="00000000" w:rsidP="00000000" w:rsidRDefault="00000000" w:rsidRPr="00000000" w14:paraId="000000B3">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4">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5">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6">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7">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8">
            <w:pPr>
              <w:spacing w:line="360" w:lineRule="auto"/>
              <w:jc w:val="left"/>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B9">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A">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B">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C">
            <w:pPr>
              <w:spacing w:line="360" w:lineRule="auto"/>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HORACIO RODRÍGUEZ JIMÉNEZ FACILITADOR TITULAR DEL SECRETARIADO TÉCNICO LOCAL</w:t>
            </w:r>
          </w:p>
          <w:p w:rsidR="00000000" w:rsidDel="00000000" w:rsidP="00000000" w:rsidRDefault="00000000" w:rsidRPr="00000000" w14:paraId="000000BD">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E">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BF">
            <w:pPr>
              <w:spacing w:line="360" w:lineRule="auto"/>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C0">
            <w:pPr>
              <w:spacing w:line="360" w:lineRule="auto"/>
              <w:ind w:right="51"/>
              <w:jc w:val="center"/>
              <w:rPr>
                <w:rFonts w:ascii="Palatino Linotype" w:cs="Palatino Linotype" w:eastAsia="Palatino Linotype" w:hAnsi="Palatino Linotype"/>
                <w:b w:val="1"/>
                <w:sz w:val="20"/>
                <w:szCs w:val="20"/>
              </w:rPr>
            </w:pPr>
            <w:r w:rsidDel="00000000" w:rsidR="00000000" w:rsidRPr="00000000">
              <w:rPr>
                <w:rtl w:val="0"/>
              </w:rPr>
            </w:r>
          </w:p>
        </w:tc>
      </w:tr>
    </w:tbl>
    <w:p w:rsidR="00000000" w:rsidDel="00000000" w:rsidP="00000000" w:rsidRDefault="00000000" w:rsidRPr="00000000" w14:paraId="000000C1">
      <w:pPr>
        <w:spacing w:after="240" w:before="240" w:line="36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8"/>
          <w:szCs w:val="18"/>
          <w:rtl w:val="0"/>
        </w:rPr>
        <w:t xml:space="preserve">Esta página pertenece al Acta de la Décimo Séptima Sesión Ordinaria del Secretariado Técnico Local, celebrada el 28 de abril de 2023.</w:t>
      </w:r>
      <w:r w:rsidDel="00000000" w:rsidR="00000000" w:rsidRPr="00000000">
        <w:rPr>
          <w:rtl w:val="0"/>
        </w:rPr>
      </w:r>
    </w:p>
    <w:sectPr>
      <w:headerReference r:id="rId7" w:type="default"/>
      <w:footerReference r:id="rId8" w:type="default"/>
      <w:pgSz w:h="15840" w:w="12240" w:orient="portrait"/>
      <w:pgMar w:bottom="1701" w:top="1728" w:left="1418" w:right="1701"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a6a6a6"/>
      </w:rPr>
    </w:pPr>
    <w:r w:rsidDel="00000000" w:rsidR="00000000" w:rsidRPr="00000000">
      <w:rPr>
        <w:rFonts w:ascii="Palatino Linotype" w:cs="Palatino Linotype" w:eastAsia="Palatino Linotype" w:hAnsi="Palatino Linotype"/>
        <w:color w:val="a6a6a6"/>
        <w:rtl w:val="0"/>
      </w:rPr>
      <w:t xml:space="preserve">Página </w:t>
    </w:r>
    <w:r w:rsidDel="00000000" w:rsidR="00000000" w:rsidRPr="00000000">
      <w:rPr>
        <w:rFonts w:ascii="Palatino Linotype" w:cs="Palatino Linotype" w:eastAsia="Palatino Linotype" w:hAnsi="Palatino Linotype"/>
        <w:color w:val="a6a6a6"/>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a6a6a6"/>
        <w:rtl w:val="0"/>
      </w:rPr>
      <w:t xml:space="preserve"> de </w:t>
    </w:r>
    <w:r w:rsidDel="00000000" w:rsidR="00000000" w:rsidRPr="00000000">
      <w:rPr>
        <w:rFonts w:ascii="Palatino Linotype" w:cs="Palatino Linotype" w:eastAsia="Palatino Linotype" w:hAnsi="Palatino Linotype"/>
        <w:color w:val="a6a6a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-47615</wp:posOffset>
          </wp:positionV>
          <wp:extent cx="2085658" cy="640409"/>
          <wp:effectExtent b="0" l="0" r="0" t="0"/>
          <wp:wrapNone/>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85658" cy="640409"/>
                  </a:xfrm>
                  <a:prstGeom prst="rect"/>
                  <a:ln/>
                </pic:spPr>
              </pic:pic>
            </a:graphicData>
          </a:graphic>
        </wp:anchor>
      </w:drawing>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jc w:val="right"/>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18"/>
        <w:szCs w:val="18"/>
        <w:rtl w:val="0"/>
      </w:rPr>
      <w:t xml:space="preserve">                                                                                                   ACTA DE LA </w:t>
    </w:r>
    <w:r w:rsidDel="00000000" w:rsidR="00000000" w:rsidRPr="00000000">
      <w:rPr>
        <w:rFonts w:ascii="Palatino Linotype" w:cs="Palatino Linotype" w:eastAsia="Palatino Linotype" w:hAnsi="Palatino Linotype"/>
        <w:b w:val="1"/>
        <w:sz w:val="18"/>
        <w:szCs w:val="18"/>
        <w:rtl w:val="0"/>
      </w:rPr>
      <w:t xml:space="preserve">DÉCIMO SEPTIMA </w:t>
    </w:r>
    <w:r w:rsidDel="00000000" w:rsidR="00000000" w:rsidRPr="00000000">
      <w:rPr>
        <w:rFonts w:ascii="Palatino Linotype" w:cs="Palatino Linotype" w:eastAsia="Palatino Linotype" w:hAnsi="Palatino Linotype"/>
        <w:b w:val="1"/>
        <w:color w:val="000000"/>
        <w:sz w:val="18"/>
        <w:szCs w:val="18"/>
        <w:rtl w:val="0"/>
      </w:rPr>
      <w:t xml:space="preserve">SESIÓN ORDINARIA DEL SECRETARIADO TÉCNICO LOCAL</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rFonts w:ascii="Arial" w:cs="Arial" w:eastAsia="Arial" w:hAnsi="Arial"/>
        <w:b w:val="1"/>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150F3"/>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466358"/>
    <w:pPr>
      <w:tabs>
        <w:tab w:val="center" w:pos="4252"/>
        <w:tab w:val="right" w:pos="8504"/>
      </w:tabs>
    </w:pPr>
    <w:rPr>
      <w:rFonts w:asciiTheme="minorHAnsi" w:cstheme="minorBidi" w:eastAsiaTheme="minorEastAsia" w:hAnsiTheme="minorHAnsi"/>
    </w:rPr>
  </w:style>
  <w:style w:type="character" w:styleId="EncabezadoCar" w:customStyle="1">
    <w:name w:val="Encabezado Car"/>
    <w:basedOn w:val="Fuentedeprrafopredeter"/>
    <w:link w:val="Encabezado"/>
    <w:uiPriority w:val="99"/>
    <w:rsid w:val="00466358"/>
    <w:rPr>
      <w:rFonts w:eastAsiaTheme="minorEastAsia"/>
      <w:sz w:val="24"/>
      <w:szCs w:val="24"/>
      <w:lang w:eastAsia="es-ES" w:val="es-ES_tradnl"/>
    </w:rPr>
  </w:style>
  <w:style w:type="paragraph" w:styleId="Piedepgina">
    <w:name w:val="footer"/>
    <w:basedOn w:val="Normal"/>
    <w:link w:val="PiedepginaCar"/>
    <w:uiPriority w:val="99"/>
    <w:unhideWhenUsed w:val="1"/>
    <w:rsid w:val="00466358"/>
    <w:pPr>
      <w:tabs>
        <w:tab w:val="center" w:pos="4252"/>
        <w:tab w:val="right" w:pos="8504"/>
      </w:tabs>
    </w:pPr>
    <w:rPr>
      <w:rFonts w:asciiTheme="minorHAnsi" w:cstheme="minorBidi" w:eastAsiaTheme="minorEastAsia" w:hAnsiTheme="minorHAnsi"/>
    </w:rPr>
  </w:style>
  <w:style w:type="character" w:styleId="PiedepginaCar" w:customStyle="1">
    <w:name w:val="Pie de página Car"/>
    <w:basedOn w:val="Fuentedeprrafopredeter"/>
    <w:link w:val="Piedepgina"/>
    <w:uiPriority w:val="99"/>
    <w:rsid w:val="00466358"/>
    <w:rPr>
      <w:rFonts w:eastAsiaTheme="minorEastAsia"/>
      <w:sz w:val="24"/>
      <w:szCs w:val="24"/>
      <w:lang w:eastAsia="es-ES" w:val="es-ES_tradnl"/>
    </w:rPr>
  </w:style>
  <w:style w:type="paragraph" w:styleId="Prrafodelista">
    <w:name w:val="List Paragraph"/>
    <w:basedOn w:val="Normal"/>
    <w:uiPriority w:val="1"/>
    <w:qFormat w:val="1"/>
    <w:rsid w:val="00466358"/>
    <w:pPr>
      <w:spacing w:after="200" w:line="276" w:lineRule="auto"/>
      <w:ind w:left="720"/>
      <w:contextualSpacing w:val="1"/>
    </w:pPr>
    <w:rPr>
      <w:rFonts w:asciiTheme="minorHAnsi" w:cstheme="minorBidi" w:eastAsiaTheme="minorHAnsi" w:hAnsiTheme="minorHAnsi"/>
      <w:sz w:val="22"/>
      <w:szCs w:val="22"/>
      <w:lang w:eastAsia="en-US" w:val="es-MX"/>
    </w:rPr>
  </w:style>
  <w:style w:type="table" w:styleId="Tablaconcuadrcula">
    <w:name w:val="Table Grid"/>
    <w:basedOn w:val="Tablanormal"/>
    <w:uiPriority w:val="59"/>
    <w:rsid w:val="0046635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122F6E"/>
    <w:rPr>
      <w:color w:val="0563c1" w:themeColor="hyperlink"/>
      <w:u w:val="single"/>
    </w:rPr>
  </w:style>
  <w:style w:type="paragraph" w:styleId="Cuerpo" w:customStyle="1">
    <w:name w:val="Cuerpo"/>
    <w:rsid w:val="00E91586"/>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lang w:eastAsia="es-ES" w:val="pt-PT"/>
      <w14:textOutline w14:cap="flat" w14:cmpd="sng" w14:algn="ctr">
        <w14:noFill/>
        <w14:prstDash w14:val="solid"/>
        <w14:bevel/>
      </w14:textOutline>
    </w:rPr>
  </w:style>
  <w:style w:type="character" w:styleId="Ninguno" w:customStyle="1">
    <w:name w:val="Ninguno"/>
    <w:rsid w:val="00E91586"/>
    <w:rPr>
      <w:lang w:val="pt-PT"/>
    </w:rPr>
  </w:style>
  <w:style w:type="numbering" w:styleId="Estiloimportado1" w:customStyle="1">
    <w:name w:val="Estilo importado 1"/>
    <w:rsid w:val="00E91586"/>
  </w:style>
  <w:style w:type="character" w:styleId="Refdecomentario">
    <w:name w:val="annotation reference"/>
    <w:basedOn w:val="Fuentedeprrafopredeter"/>
    <w:uiPriority w:val="99"/>
    <w:semiHidden w:val="1"/>
    <w:unhideWhenUsed w:val="1"/>
    <w:rsid w:val="001E1AB2"/>
    <w:rPr>
      <w:sz w:val="16"/>
      <w:szCs w:val="16"/>
    </w:rPr>
  </w:style>
  <w:style w:type="paragraph" w:styleId="Textocomentario">
    <w:name w:val="annotation text"/>
    <w:basedOn w:val="Normal"/>
    <w:link w:val="TextocomentarioCar"/>
    <w:uiPriority w:val="99"/>
    <w:semiHidden w:val="1"/>
    <w:unhideWhenUsed w:val="1"/>
    <w:rsid w:val="001E1AB2"/>
    <w:rPr>
      <w:sz w:val="20"/>
      <w:szCs w:val="20"/>
    </w:rPr>
  </w:style>
  <w:style w:type="character" w:styleId="TextocomentarioCar" w:customStyle="1">
    <w:name w:val="Texto comentario Car"/>
    <w:basedOn w:val="Fuentedeprrafopredeter"/>
    <w:link w:val="Textocomentario"/>
    <w:uiPriority w:val="99"/>
    <w:semiHidden w:val="1"/>
    <w:rsid w:val="001E1AB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1E1AB2"/>
    <w:rPr>
      <w:b w:val="1"/>
      <w:bCs w:val="1"/>
    </w:rPr>
  </w:style>
  <w:style w:type="character" w:styleId="AsuntodelcomentarioCar" w:customStyle="1">
    <w:name w:val="Asunto del comentario Car"/>
    <w:basedOn w:val="TextocomentarioCar"/>
    <w:link w:val="Asuntodelcomentario"/>
    <w:uiPriority w:val="99"/>
    <w:semiHidden w:val="1"/>
    <w:rsid w:val="001E1AB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1E1AB2"/>
    <w:rPr>
      <w:sz w:val="18"/>
      <w:szCs w:val="18"/>
    </w:rPr>
  </w:style>
  <w:style w:type="character" w:styleId="TextodegloboCar" w:customStyle="1">
    <w:name w:val="Texto de globo Car"/>
    <w:basedOn w:val="Fuentedeprrafopredeter"/>
    <w:link w:val="Textodeglobo"/>
    <w:uiPriority w:val="99"/>
    <w:semiHidden w:val="1"/>
    <w:rsid w:val="001E1AB2"/>
    <w:rPr>
      <w:rFonts w:ascii="Times New Roman" w:cs="Times New Roman" w:eastAsia="Times New Roman" w:hAnsi="Times New Roman"/>
      <w:sz w:val="18"/>
      <w:szCs w:val="18"/>
      <w:lang w:eastAsia="es-ES" w:val="es-ES"/>
    </w:rPr>
  </w:style>
  <w:style w:type="paragraph" w:styleId="Revisin">
    <w:name w:val="Revision"/>
    <w:hidden w:val="1"/>
    <w:uiPriority w:val="99"/>
    <w:semiHidden w:val="1"/>
    <w:rsid w:val="001E1AB2"/>
    <w:rPr>
      <w:lang w:eastAsia="es-ES" w:val="es-ES"/>
    </w:rPr>
  </w:style>
  <w:style w:type="character" w:styleId="Mencinsinresolver1" w:customStyle="1">
    <w:name w:val="Mención sin resolver1"/>
    <w:basedOn w:val="Fuentedeprrafopredeter"/>
    <w:uiPriority w:val="99"/>
    <w:semiHidden w:val="1"/>
    <w:unhideWhenUsed w:val="1"/>
    <w:rsid w:val="00EB67F7"/>
    <w:rPr>
      <w:color w:val="808080"/>
      <w:shd w:color="auto" w:fill="e6e6e6" w:val="clear"/>
    </w:rPr>
  </w:style>
  <w:style w:type="table" w:styleId="Tablaconcuadrcula4-nfasis3">
    <w:name w:val="Grid Table 4 Accent 3"/>
    <w:basedOn w:val="Tablanormal"/>
    <w:uiPriority w:val="49"/>
    <w:rsid w:val="0032040A"/>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8"/>
    <w:tblPr>
      <w:tblStyleRowBandSize w:val="1"/>
      <w:tblStyleColBandSize w:val="1"/>
      <w:tblCellMar>
        <w:left w:w="108.0" w:type="dxa"/>
        <w:right w:w="108.0" w:type="dxa"/>
      </w:tblCellMar>
    </w:tblPr>
  </w:style>
  <w:style w:type="table" w:styleId="a0" w:customStyle="1">
    <w:basedOn w:val="TableNormal8"/>
    <w:tblPr>
      <w:tblStyleRowBandSize w:val="1"/>
      <w:tblStyleColBandSize w:val="1"/>
      <w:tblCellMar>
        <w:left w:w="108.0" w:type="dxa"/>
        <w:right w:w="108.0" w:type="dxa"/>
      </w:tblCellMar>
    </w:tblPr>
  </w:style>
  <w:style w:type="table" w:styleId="a1" w:customStyle="1">
    <w:basedOn w:val="TableNormal8"/>
    <w:tblPr>
      <w:tblStyleRowBandSize w:val="1"/>
      <w:tblStyleColBandSize w:val="1"/>
      <w:tblCellMar>
        <w:left w:w="108.0" w:type="dxa"/>
        <w:right w:w="108.0" w:type="dxa"/>
      </w:tblCellMar>
    </w:tblPr>
    <w:tblStylePr w:type="firstRow">
      <w:rPr>
        <w:b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auto" w:fill="a5a5a5" w:val="clear"/>
      </w:tcPr>
    </w:tblStylePr>
    <w:tblStylePr w:type="lastRow">
      <w:rPr>
        <w:b w:val="1"/>
      </w:rPr>
      <w:tblPr/>
      <w:tcPr>
        <w:tcBorders>
          <w:top w:color="a5a5a5" w:space="0" w:sz="4" w:val="single"/>
        </w:tcBorders>
      </w:tcPr>
    </w:tblStylePr>
    <w:tblStylePr w:type="firstCol">
      <w:rPr>
        <w:b w:val="1"/>
      </w:rPr>
    </w:tblStylePr>
    <w:tblStylePr w:type="lastCol">
      <w:rPr>
        <w:b w:val="1"/>
      </w:rPr>
    </w:tblStylePr>
    <w:tblStylePr w:type="band1Vert">
      <w:tblPr/>
      <w:tcPr>
        <w:shd w:color="auto" w:fill="ededed" w:val="clear"/>
      </w:tcPr>
    </w:tblStylePr>
    <w:tblStylePr w:type="band1Horz">
      <w:tblPr/>
      <w:tcPr>
        <w:shd w:color="auto" w:fill="ededed" w:val="clear"/>
      </w:tcPr>
    </w:tblStylePr>
  </w:style>
  <w:style w:type="table" w:styleId="a2" w:customStyle="1">
    <w:basedOn w:val="TableNormal8"/>
    <w:tblPr>
      <w:tblStyleRowBandSize w:val="1"/>
      <w:tblStyleColBandSize w:val="1"/>
      <w:tblCellMar>
        <w:left w:w="108.0" w:type="dxa"/>
        <w:right w:w="108.0" w:type="dxa"/>
      </w:tblCellMar>
    </w:tblPr>
  </w:style>
  <w:style w:type="table" w:styleId="a3" w:customStyle="1">
    <w:basedOn w:val="TableNormal8"/>
    <w:tblPr>
      <w:tblStyleRowBandSize w:val="1"/>
      <w:tblStyleColBandSize w:val="1"/>
      <w:tblCellMar>
        <w:left w:w="108.0" w:type="dxa"/>
        <w:right w:w="108.0" w:type="dxa"/>
      </w:tblCellMar>
    </w:tblPr>
  </w:style>
  <w:style w:type="table" w:styleId="a4" w:customStyle="1">
    <w:basedOn w:val="TableNormal8"/>
    <w:tblPr>
      <w:tblStyleRowBandSize w:val="1"/>
      <w:tblStyleColBandSize w:val="1"/>
      <w:tblCellMar>
        <w:left w:w="108.0" w:type="dxa"/>
        <w:right w:w="108.0" w:type="dxa"/>
      </w:tblCellMar>
    </w:tblPr>
  </w:style>
  <w:style w:type="table" w:styleId="a5" w:customStyle="1">
    <w:basedOn w:val="TableNormal8"/>
    <w:tblPr>
      <w:tblStyleRowBandSize w:val="1"/>
      <w:tblStyleColBandSize w:val="1"/>
      <w:tblCellMar>
        <w:left w:w="108.0" w:type="dxa"/>
        <w:right w:w="108.0" w:type="dxa"/>
      </w:tblCellMar>
    </w:tblPr>
  </w:style>
  <w:style w:type="table" w:styleId="a6" w:customStyle="1">
    <w:basedOn w:val="TableNormal8"/>
    <w:tblPr>
      <w:tblStyleRowBandSize w:val="1"/>
      <w:tblStyleColBandSize w:val="1"/>
      <w:tblCellMar>
        <w:left w:w="115.0" w:type="dxa"/>
        <w:right w:w="115.0" w:type="dxa"/>
      </w:tblCellMar>
    </w:tblPr>
  </w:style>
  <w:style w:type="table" w:styleId="a7" w:customStyle="1">
    <w:basedOn w:val="TableNormal8"/>
    <w:tblPr>
      <w:tblStyleRowBandSize w:val="1"/>
      <w:tblStyleColBandSize w:val="1"/>
      <w:tblCellMar>
        <w:left w:w="115.0" w:type="dxa"/>
        <w:right w:w="115.0" w:type="dxa"/>
      </w:tblCellMar>
    </w:tblPr>
  </w:style>
  <w:style w:type="table" w:styleId="a8" w:customStyle="1">
    <w:basedOn w:val="TableNormal8"/>
    <w:tblPr>
      <w:tblStyleRowBandSize w:val="1"/>
      <w:tblStyleColBandSize w:val="1"/>
      <w:tblCellMar>
        <w:left w:w="115.0" w:type="dxa"/>
        <w:right w:w="115.0" w:type="dxa"/>
      </w:tblCellMar>
    </w:tblPr>
  </w:style>
  <w:style w:type="table" w:styleId="a9" w:customStyle="1">
    <w:basedOn w:val="TableNormal8"/>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8E5666"/>
    <w:pPr>
      <w:spacing w:after="100" w:afterAutospacing="1" w:before="100" w:beforeAutospacing="1"/>
    </w:pPr>
    <w:rPr>
      <w:lang w:eastAsia="es-MX" w:val="es-MX"/>
    </w:rPr>
  </w:style>
  <w:style w:type="table" w:styleId="aa" w:customStyle="1">
    <w:basedOn w:val="TableNormal7"/>
    <w:tblPr>
      <w:tblStyleRowBandSize w:val="1"/>
      <w:tblStyleColBandSize w:val="1"/>
      <w:tblCellMar>
        <w:left w:w="115.0" w:type="dxa"/>
        <w:right w:w="115.0" w:type="dxa"/>
      </w:tblCellMar>
    </w:tblPr>
  </w:style>
  <w:style w:type="table" w:styleId="ab" w:customStyle="1">
    <w:basedOn w:val="TableNormal7"/>
    <w:tblPr>
      <w:tblStyleRowBandSize w:val="1"/>
      <w:tblStyleColBandSize w:val="1"/>
      <w:tblCellMar>
        <w:left w:w="115.0" w:type="dxa"/>
        <w:right w:w="115.0" w:type="dxa"/>
      </w:tblCellMar>
    </w:tblPr>
  </w:style>
  <w:style w:type="table" w:styleId="ac" w:customStyle="1">
    <w:basedOn w:val="TableNormal7"/>
    <w:tblPr>
      <w:tblStyleRowBandSize w:val="1"/>
      <w:tblStyleColBandSize w:val="1"/>
      <w:tblCellMar>
        <w:left w:w="115.0" w:type="dxa"/>
        <w:right w:w="115.0" w:type="dxa"/>
      </w:tblCellMar>
    </w:tblPr>
  </w:style>
  <w:style w:type="table" w:styleId="ad" w:customStyle="1">
    <w:basedOn w:val="TableNormal7"/>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1"/>
    <w:qFormat w:val="1"/>
    <w:rsid w:val="00B825AC"/>
    <w:pPr>
      <w:widowControl w:val="0"/>
      <w:autoSpaceDE w:val="0"/>
      <w:autoSpaceDN w:val="0"/>
    </w:pPr>
    <w:rPr>
      <w:rFonts w:ascii="Palatino Linotype" w:cs="Palatino Linotype" w:eastAsia="Palatino Linotype" w:hAnsi="Palatino Linotype"/>
      <w:sz w:val="20"/>
      <w:szCs w:val="20"/>
      <w:lang w:eastAsia="en-US" w:val="es-ES"/>
    </w:rPr>
  </w:style>
  <w:style w:type="character" w:styleId="TextoindependienteCar" w:customStyle="1">
    <w:name w:val="Texto independiente Car"/>
    <w:basedOn w:val="Fuentedeprrafopredeter"/>
    <w:link w:val="Textoindependiente"/>
    <w:uiPriority w:val="1"/>
    <w:rsid w:val="00B825AC"/>
    <w:rPr>
      <w:rFonts w:ascii="Palatino Linotype" w:cs="Palatino Linotype" w:eastAsia="Palatino Linotype" w:hAnsi="Palatino Linotype"/>
      <w:sz w:val="20"/>
      <w:szCs w:val="20"/>
      <w:lang w:eastAsia="en-US" w:val="es-ES"/>
    </w:rPr>
  </w:style>
  <w:style w:type="table" w:styleId="ae" w:customStyle="1">
    <w:basedOn w:val="TableNormal6"/>
    <w:tblPr>
      <w:tblStyleRowBandSize w:val="1"/>
      <w:tblStyleColBandSize w:val="1"/>
      <w:tblCellMar>
        <w:left w:w="115.0" w:type="dxa"/>
        <w:right w:w="115.0" w:type="dxa"/>
      </w:tblCellMar>
    </w:tblPr>
  </w:style>
  <w:style w:type="table" w:styleId="af" w:customStyle="1">
    <w:basedOn w:val="TableNormal6"/>
    <w:tblPr>
      <w:tblStyleRowBandSize w:val="1"/>
      <w:tblStyleColBandSize w:val="1"/>
      <w:tblCellMar>
        <w:left w:w="115.0" w:type="dxa"/>
        <w:right w:w="115.0" w:type="dxa"/>
      </w:tblCellMar>
    </w:tblPr>
  </w:style>
  <w:style w:type="table" w:styleId="af0" w:customStyle="1">
    <w:basedOn w:val="TableNormal6"/>
    <w:tblPr>
      <w:tblStyleRowBandSize w:val="1"/>
      <w:tblStyleColBandSize w:val="1"/>
      <w:tblCellMar>
        <w:left w:w="115.0" w:type="dxa"/>
        <w:right w:w="115.0" w:type="dxa"/>
      </w:tblCellMar>
    </w:tblPr>
  </w:style>
  <w:style w:type="table" w:styleId="af1" w:customStyle="1">
    <w:basedOn w:val="TableNormal6"/>
    <w:tblPr>
      <w:tblStyleRowBandSize w:val="1"/>
      <w:tblStyleColBandSize w:val="1"/>
      <w:tblCellMar>
        <w:left w:w="115.0" w:type="dxa"/>
        <w:right w:w="115.0" w:type="dxa"/>
      </w:tblCellMar>
    </w:tblPr>
  </w:style>
  <w:style w:type="table" w:styleId="af2" w:customStyle="1">
    <w:basedOn w:val="TableNormal6"/>
    <w:tblPr>
      <w:tblStyleRowBandSize w:val="1"/>
      <w:tblStyleColBandSize w:val="1"/>
      <w:tblCellMar>
        <w:left w:w="115.0" w:type="dxa"/>
        <w:right w:w="115.0" w:type="dxa"/>
      </w:tblCellMar>
    </w:tblPr>
  </w:style>
  <w:style w:type="table" w:styleId="af3" w:customStyle="1">
    <w:basedOn w:val="TableNormal6"/>
    <w:tblPr>
      <w:tblStyleRowBandSize w:val="1"/>
      <w:tblStyleColBandSize w:val="1"/>
      <w:tblCellMar>
        <w:left w:w="115.0" w:type="dxa"/>
        <w:right w:w="115.0" w:type="dxa"/>
      </w:tblCellMar>
    </w:tblPr>
  </w:style>
  <w:style w:type="table" w:styleId="af4" w:customStyle="1">
    <w:basedOn w:val="TableNormal6"/>
    <w:tblPr>
      <w:tblStyleRowBandSize w:val="1"/>
      <w:tblStyleColBandSize w:val="1"/>
      <w:tblCellMar>
        <w:left w:w="115.0" w:type="dxa"/>
        <w:right w:w="115.0" w:type="dxa"/>
      </w:tblCellMar>
    </w:tblPr>
  </w:style>
  <w:style w:type="table" w:styleId="af5" w:customStyle="1">
    <w:basedOn w:val="TableNormal6"/>
    <w:tblPr>
      <w:tblStyleRowBandSize w:val="1"/>
      <w:tblStyleColBandSize w:val="1"/>
      <w:tblCellMar>
        <w:left w:w="115.0" w:type="dxa"/>
        <w:right w:w="115.0" w:type="dxa"/>
      </w:tblCellMar>
    </w:tblPr>
  </w:style>
  <w:style w:type="table" w:styleId="af6" w:customStyle="1">
    <w:basedOn w:val="TableNormal6"/>
    <w:tblPr>
      <w:tblStyleRowBandSize w:val="1"/>
      <w:tblStyleColBandSize w:val="1"/>
      <w:tblCellMar>
        <w:left w:w="115.0" w:type="dxa"/>
        <w:right w:w="115.0" w:type="dxa"/>
      </w:tblCellMar>
    </w:tblPr>
  </w:style>
  <w:style w:type="table" w:styleId="af7" w:customStyle="1">
    <w:basedOn w:val="TableNormal6"/>
    <w:tblPr>
      <w:tblStyleRowBandSize w:val="1"/>
      <w:tblStyleColBandSize w:val="1"/>
      <w:tblCellMar>
        <w:left w:w="115.0" w:type="dxa"/>
        <w:right w:w="115.0" w:type="dxa"/>
      </w:tblCellMar>
    </w:tblPr>
  </w:style>
  <w:style w:type="table" w:styleId="af8" w:customStyle="1">
    <w:basedOn w:val="TableNormal6"/>
    <w:tblPr>
      <w:tblStyleRowBandSize w:val="1"/>
      <w:tblStyleColBandSize w:val="1"/>
      <w:tblCellMar>
        <w:left w:w="115.0" w:type="dxa"/>
        <w:right w:w="115.0" w:type="dxa"/>
      </w:tblCellMar>
    </w:tblPr>
  </w:style>
  <w:style w:type="table" w:styleId="af9" w:customStyle="1">
    <w:basedOn w:val="TableNormal6"/>
    <w:tblPr>
      <w:tblStyleRowBandSize w:val="1"/>
      <w:tblStyleColBandSize w:val="1"/>
      <w:tblCellMar>
        <w:left w:w="115.0" w:type="dxa"/>
        <w:right w:w="115.0" w:type="dxa"/>
      </w:tblCellMar>
    </w:tblPr>
  </w:style>
  <w:style w:type="table" w:styleId="afa" w:customStyle="1">
    <w:basedOn w:val="TableNormal6"/>
    <w:tblPr>
      <w:tblStyleRowBandSize w:val="1"/>
      <w:tblStyleColBandSize w:val="1"/>
      <w:tblCellMar>
        <w:left w:w="115.0" w:type="dxa"/>
        <w:right w:w="115.0" w:type="dxa"/>
      </w:tblCellMar>
    </w:tblPr>
  </w:style>
  <w:style w:type="table" w:styleId="afb" w:customStyle="1">
    <w:basedOn w:val="TableNormal3"/>
    <w:tblPr>
      <w:tblStyleRowBandSize w:val="1"/>
      <w:tblStyleColBandSize w:val="1"/>
      <w:tblCellMar>
        <w:left w:w="115.0" w:type="dxa"/>
        <w:right w:w="115.0" w:type="dxa"/>
      </w:tblCellMar>
    </w:tblPr>
  </w:style>
  <w:style w:type="table" w:styleId="afc" w:customStyle="1">
    <w:basedOn w:val="TableNormal3"/>
    <w:tblPr>
      <w:tblStyleRowBandSize w:val="1"/>
      <w:tblStyleColBandSize w:val="1"/>
      <w:tblCellMar>
        <w:left w:w="115.0" w:type="dxa"/>
        <w:right w:w="115.0" w:type="dxa"/>
      </w:tblCellMar>
    </w:tblPr>
  </w:style>
  <w:style w:type="table" w:styleId="afd" w:customStyle="1">
    <w:basedOn w:val="TableNormal3"/>
    <w:tblPr>
      <w:tblStyleRowBandSize w:val="1"/>
      <w:tblStyleColBandSize w:val="1"/>
      <w:tblCellMar>
        <w:left w:w="115.0" w:type="dxa"/>
        <w:right w:w="115.0" w:type="dxa"/>
      </w:tblCellMar>
    </w:tblPr>
  </w:style>
  <w:style w:type="table" w:styleId="afe" w:customStyle="1">
    <w:basedOn w:val="TableNormal3"/>
    <w:tblPr>
      <w:tblStyleRowBandSize w:val="1"/>
      <w:tblStyleColBandSize w:val="1"/>
      <w:tblCellMar>
        <w:left w:w="115.0" w:type="dxa"/>
        <w:right w:w="115.0" w:type="dxa"/>
      </w:tblCellMar>
    </w:tblPr>
  </w:style>
  <w:style w:type="table" w:styleId="aff" w:customStyle="1">
    <w:basedOn w:val="TableNormal2"/>
    <w:tblPr>
      <w:tblStyleRowBandSize w:val="1"/>
      <w:tblStyleColBandSize w:val="1"/>
      <w:tblCellMar>
        <w:left w:w="115.0" w:type="dxa"/>
        <w:right w:w="115.0" w:type="dxa"/>
      </w:tblCellMar>
    </w:tblPr>
  </w:style>
  <w:style w:type="table" w:styleId="aff0" w:customStyle="1">
    <w:basedOn w:val="TableNormal2"/>
    <w:tblPr>
      <w:tblStyleRowBandSize w:val="1"/>
      <w:tblStyleColBandSize w:val="1"/>
      <w:tblCellMar>
        <w:left w:w="115.0" w:type="dxa"/>
        <w:right w:w="115.0" w:type="dxa"/>
      </w:tblCellMar>
    </w:tblPr>
  </w:style>
  <w:style w:type="table" w:styleId="aff1" w:customStyle="1">
    <w:basedOn w:val="TableNormal2"/>
    <w:tblPr>
      <w:tblStyleRowBandSize w:val="1"/>
      <w:tblStyleColBandSize w:val="1"/>
      <w:tblCellMar>
        <w:left w:w="115.0" w:type="dxa"/>
        <w:right w:w="115.0" w:type="dxa"/>
      </w:tblCellMar>
    </w:tblPr>
  </w:style>
  <w:style w:type="table" w:styleId="aff2" w:customStyle="1">
    <w:basedOn w:val="TableNormal2"/>
    <w:tblPr>
      <w:tblStyleRowBandSize w:val="1"/>
      <w:tblStyleColBandSize w:val="1"/>
      <w:tblCellMar>
        <w:left w:w="115.0" w:type="dxa"/>
        <w:right w:w="115.0" w:type="dxa"/>
      </w:tblCellMar>
    </w:tblPr>
  </w:style>
  <w:style w:type="table" w:styleId="aff3" w:customStyle="1">
    <w:basedOn w:val="TableNormal1"/>
    <w:tblPr>
      <w:tblStyleRowBandSize w:val="1"/>
      <w:tblStyleColBandSize w:val="1"/>
      <w:tblCellMar>
        <w:left w:w="115.0" w:type="dxa"/>
        <w:right w:w="115.0" w:type="dxa"/>
      </w:tblCellMar>
    </w:tblPr>
  </w:style>
  <w:style w:type="table" w:styleId="aff4" w:customStyle="1">
    <w:basedOn w:val="TableNormal1"/>
    <w:tblPr>
      <w:tblStyleRowBandSize w:val="1"/>
      <w:tblStyleColBandSize w:val="1"/>
      <w:tblCellMar>
        <w:left w:w="115.0" w:type="dxa"/>
        <w:right w:w="115.0" w:type="dxa"/>
      </w:tblCellMar>
    </w:tblPr>
  </w:style>
  <w:style w:type="table" w:styleId="aff5" w:customStyle="1">
    <w:basedOn w:val="TableNormal1"/>
    <w:tblPr>
      <w:tblStyleRowBandSize w:val="1"/>
      <w:tblStyleColBandSize w:val="1"/>
      <w:tblCellMar>
        <w:left w:w="115.0" w:type="dxa"/>
        <w:right w:w="115.0" w:type="dxa"/>
      </w:tblCellMar>
    </w:tblPr>
  </w:style>
  <w:style w:type="table" w:styleId="aff6" w:customStyle="1">
    <w:basedOn w:val="TableNormal1"/>
    <w:tblPr>
      <w:tblStyleRowBandSize w:val="1"/>
      <w:tblStyleColBandSize w:val="1"/>
      <w:tblCellMar>
        <w:left w:w="115.0" w:type="dxa"/>
        <w:right w:w="115.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15.0" w:type="dxa"/>
        <w:right w:w="115.0" w:type="dxa"/>
      </w:tblCellMar>
    </w:tblPr>
  </w:style>
  <w:style w:type="table" w:styleId="aff9"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ne3ANPZFPgZSPunmEcc6T8LIg==">CgMxLjA4AHIhMXNSbEhSaXlOUWlKa293SldGbEVwMGhKTExZd1gxQjZZ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2021-11-11T01:54:00Z</dcterms:created>
  <dc:creator>USUARIO INFOEM</dc:creator>
</cp:coreProperties>
</file>