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0" w:right="51"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En el Estado de México, siendo las once horas con cinco minutos del día 24 de febrero de dos mil veintitrés, se encuentran reunidos los integrantes del Secretariado Técnico Local del Estado de México, para celebrar su Décimo Sexta Sesión Ordinaria, de manera híbrida, en modo presencial en las instalaciones del Instituto de Transparencia, Acceso a la Información Pública y Protección de Datos Personales del Estado de México y Municipios, ubicado en Calle de Pino Suárez sin número, actualmente Carretera Toluca-Ixtapan # 111, Colonia La Michoacana, Metepec, Estado de México y a través de la Plataforma virtual de Zoom, a la cual fueron convocados por el Facilitador Horacio Rodríguez Jiménez, mediante el oficio número STL/017/2022, de fecha diecisiete de febrero de dos mil veintitrés, estando presentes: José Martínez Vilchis, Comisionado Presidente del Instituto de Transparencia, Acceso a la Información Pública y Protección de Datos Personales del Estado de México y Municipios (Infoem) y Representante Titular de Órgano Garante, Luis Gustavo Parra Noriega, Comisionado del Infoem y Representante Suplente del Órgano Garante, Fabiola Catalina Aparicio Perales, Consejera de la Judicatura, en Representación del Magistrado Ricardo Sodi Cuellar Titular del Poder Judicial del Estado de México; Paula Melgarejo Salgado, Consejera y Presidenta de la Comisión de Transparencia del IEEM, en Representación del Suplente de los Entes Públicos; Marco Antonio Becerril Garcés, Jefe de la Unidad de Prevención de la Corrupción de la Secretaría de la Contraloría del Estado de México en Representación del Secretario y Titular de los Entes públicos;  Carlos de la Peña Jiménez O´Farril, Representante Titular de la Sociedad Civil; Enrique Serrano Arenas, Representante Suplente de la Sociedad Civil; Adriana Yadira  Cárdenas Tagle, Directora General de Transparencia, Acceso a la Información Pública y Gobierno Abierto y Bernardo Aguilar Rodríguez, Subdirector de Gobierno Abierto y Transparencia Proactiva, ambos del Infoem, con la finalidad de desahogar la sesión bajo el siguiente orden del día:  </w:t>
      </w:r>
    </w:p>
    <w:p w:rsidR="00000000" w:rsidDel="00000000" w:rsidP="00000000" w:rsidRDefault="00000000" w:rsidRPr="00000000" w14:paraId="00000002">
      <w:pPr>
        <w:spacing w:line="360" w:lineRule="auto"/>
        <w:ind w:left="0" w:right="51" w:firstLine="0"/>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3">
      <w:pPr>
        <w:spacing w:line="360" w:lineRule="auto"/>
        <w:ind w:left="0" w:right="51" w:firstLine="0"/>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4">
      <w:pPr>
        <w:spacing w:line="360" w:lineRule="auto"/>
        <w:jc w:val="center"/>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05">
      <w:pPr>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Orden del día</w:t>
      </w:r>
    </w:p>
    <w:p w:rsidR="00000000" w:rsidDel="00000000" w:rsidP="00000000" w:rsidRDefault="00000000" w:rsidRPr="00000000" w14:paraId="00000006">
      <w:pPr>
        <w:spacing w:after="160" w:line="259" w:lineRule="auto"/>
        <w:jc w:val="both"/>
        <w:rPr>
          <w:rFonts w:ascii="Palatino Linotype" w:cs="Palatino Linotype" w:eastAsia="Palatino Linotype" w:hAnsi="Palatino Linotype"/>
          <w:sz w:val="21"/>
          <w:szCs w:val="21"/>
        </w:rPr>
      </w:pPr>
      <w:r w:rsidDel="00000000" w:rsidR="00000000" w:rsidRPr="00000000">
        <w:rPr>
          <w:rtl w:val="0"/>
        </w:rPr>
      </w:r>
    </w:p>
    <w:p w:rsidR="00000000" w:rsidDel="00000000" w:rsidP="00000000" w:rsidRDefault="00000000" w:rsidRPr="00000000" w14:paraId="00000007">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Lista de asistencia y declaratoria de quórum;</w:t>
      </w:r>
    </w:p>
    <w:p w:rsidR="00000000" w:rsidDel="00000000" w:rsidP="00000000" w:rsidRDefault="00000000" w:rsidRPr="00000000" w14:paraId="00000008">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Lectura y, en su caso, aprobación del orden del día;</w:t>
      </w:r>
    </w:p>
    <w:p w:rsidR="00000000" w:rsidDel="00000000" w:rsidP="00000000" w:rsidRDefault="00000000" w:rsidRPr="00000000" w14:paraId="00000009">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Presentación y, en su caso, aprobación del acta de la Décimo Quinta Sesión Ordinaria, por parte de los integrantes del Secretariado Técnico Local;</w:t>
      </w:r>
    </w:p>
    <w:p w:rsidR="00000000" w:rsidDel="00000000" w:rsidP="00000000" w:rsidRDefault="00000000" w:rsidRPr="00000000" w14:paraId="0000000A">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Mensaje de José Martínez Vilchis, Comisionado Presidente del Instituto de Transparencia, Acceso a la Información Pública y Protección de Datos Personales del Estado de México y Municipios.</w:t>
      </w:r>
    </w:p>
    <w:p w:rsidR="00000000" w:rsidDel="00000000" w:rsidP="00000000" w:rsidRDefault="00000000" w:rsidRPr="00000000" w14:paraId="0000000B">
      <w:pPr>
        <w:widowControl w:val="0"/>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Presentación de avances del Compromiso Proactivo del Poder Judicial, por parte de Ricardo Alfredo Sodi Cuéllar, Magistrado Presidente del Tribunal Superior de Justicia del Estado de México; </w:t>
      </w:r>
    </w:p>
    <w:p w:rsidR="00000000" w:rsidDel="00000000" w:rsidP="00000000" w:rsidRDefault="00000000" w:rsidRPr="00000000" w14:paraId="0000000C">
      <w:pPr>
        <w:widowControl w:val="0"/>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Presentación de avances de los Compromisos del Instituto de Transparencia, Acceso a la Información Pública y Protección de Datos Personales del Estado de México y Municipios, por parte de Luis Gustavo Parra Noriega, Comisionado del Infoem;</w:t>
      </w:r>
    </w:p>
    <w:p w:rsidR="00000000" w:rsidDel="00000000" w:rsidP="00000000" w:rsidRDefault="00000000" w:rsidRPr="00000000" w14:paraId="0000000D">
      <w:pPr>
        <w:widowControl w:val="0"/>
        <w:numPr>
          <w:ilvl w:val="0"/>
          <w:numId w:val="1"/>
        </w:numPr>
        <w:spacing w:line="360" w:lineRule="auto"/>
        <w:ind w:left="1853.858267716535" w:hanging="36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Presentación de Informe de Resultados de los Compromisos liderados por el Infoem registrados ante OGP.</w:t>
      </w:r>
    </w:p>
    <w:p w:rsidR="00000000" w:rsidDel="00000000" w:rsidP="00000000" w:rsidRDefault="00000000" w:rsidRPr="00000000" w14:paraId="0000000E">
      <w:pPr>
        <w:widowControl w:val="0"/>
        <w:numPr>
          <w:ilvl w:val="0"/>
          <w:numId w:val="1"/>
        </w:numPr>
        <w:spacing w:line="360" w:lineRule="auto"/>
        <w:ind w:left="1853.858267716535" w:hanging="36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Presentación de avances del Compromiso Proactivo del Infoem ante el STL.</w:t>
      </w:r>
    </w:p>
    <w:p w:rsidR="00000000" w:rsidDel="00000000" w:rsidP="00000000" w:rsidRDefault="00000000" w:rsidRPr="00000000" w14:paraId="0000000F">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Seguimiento de Acuerdos;</w:t>
      </w:r>
    </w:p>
    <w:p w:rsidR="00000000" w:rsidDel="00000000" w:rsidP="00000000" w:rsidRDefault="00000000" w:rsidRPr="00000000" w14:paraId="00000010">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Asuntos Generales; y </w:t>
      </w:r>
    </w:p>
    <w:p w:rsidR="00000000" w:rsidDel="00000000" w:rsidP="00000000" w:rsidRDefault="00000000" w:rsidRPr="00000000" w14:paraId="00000011">
      <w:pPr>
        <w:numPr>
          <w:ilvl w:val="0"/>
          <w:numId w:val="2"/>
        </w:numPr>
        <w:spacing w:line="360" w:lineRule="auto"/>
        <w:ind w:left="1440" w:hanging="1014.803149606299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highlight w:val="white"/>
          <w:rtl w:val="0"/>
        </w:rPr>
        <w:t xml:space="preserve">Clausura de la Sesión.</w:t>
      </w:r>
      <w:r w:rsidDel="00000000" w:rsidR="00000000" w:rsidRPr="00000000">
        <w:rPr>
          <w:rtl w:val="0"/>
        </w:rPr>
      </w:r>
    </w:p>
    <w:p w:rsidR="00000000" w:rsidDel="00000000" w:rsidP="00000000" w:rsidRDefault="00000000" w:rsidRPr="00000000" w14:paraId="00000012">
      <w:pPr>
        <w:spacing w:line="360" w:lineRule="auto"/>
        <w:ind w:left="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3">
      <w:pPr>
        <w:spacing w:line="360" w:lineRule="auto"/>
        <w:ind w:left="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4">
      <w:pPr>
        <w:spacing w:line="360" w:lineRule="auto"/>
        <w:ind w:left="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6">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w:t>
      </w:r>
      <w:r w:rsidDel="00000000" w:rsidR="00000000" w:rsidRPr="00000000">
        <w:rPr>
          <w:rFonts w:ascii="Palatino Linotype" w:cs="Palatino Linotype" w:eastAsia="Palatino Linotype" w:hAnsi="Palatino Linotype"/>
          <w:sz w:val="22"/>
          <w:szCs w:val="22"/>
          <w:rtl w:val="0"/>
        </w:rPr>
        <w:t xml:space="preserve"> Primeramente se sometió a consideración de los integrantes que Bernardo Aguilar Rodriguez, Subdirector de Gobierno Abierto y Transparencia Proactiva, </w:t>
      </w:r>
      <w:r w:rsidDel="00000000" w:rsidR="00000000" w:rsidRPr="00000000">
        <w:rPr>
          <w:rFonts w:ascii="Palatino Linotype" w:cs="Palatino Linotype" w:eastAsia="Palatino Linotype" w:hAnsi="Palatino Linotype"/>
          <w:sz w:val="22"/>
          <w:szCs w:val="22"/>
          <w:rtl w:val="0"/>
        </w:rPr>
        <w:t xml:space="preserve">fungiera</w:t>
      </w:r>
      <w:r w:rsidDel="00000000" w:rsidR="00000000" w:rsidRPr="00000000">
        <w:rPr>
          <w:rFonts w:ascii="Palatino Linotype" w:cs="Palatino Linotype" w:eastAsia="Palatino Linotype" w:hAnsi="Palatino Linotype"/>
          <w:sz w:val="22"/>
          <w:szCs w:val="22"/>
          <w:rtl w:val="0"/>
        </w:rPr>
        <w:t xml:space="preserve"> como facilitador en esta sesión, puesto que los Facilitadores titular y suplente no pudieron acudir a esta por causas de fuerza mayor. </w:t>
      </w:r>
    </w:p>
    <w:p w:rsidR="00000000" w:rsidDel="00000000" w:rsidP="00000000" w:rsidRDefault="00000000" w:rsidRPr="00000000" w14:paraId="00000017">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Estando de acuerdo los presentes, se procedió al pase de lista para la verificación de quórum legal, confirmando asistencia de la mayoría de integrantes del Secretariado Técnico para su desarrollo.</w:t>
      </w:r>
    </w:p>
    <w:p w:rsidR="00000000" w:rsidDel="00000000" w:rsidP="00000000" w:rsidRDefault="00000000" w:rsidRPr="00000000" w14:paraId="00000018">
      <w:pPr>
        <w:spacing w:line="360" w:lineRule="auto"/>
        <w:ind w:right="51"/>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9">
      <w:pPr>
        <w:spacing w:line="360" w:lineRule="auto"/>
        <w:ind w:right="51"/>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II.- </w:t>
      </w:r>
      <w:r w:rsidDel="00000000" w:rsidR="00000000" w:rsidRPr="00000000">
        <w:rPr>
          <w:rFonts w:ascii="Palatino Linotype" w:cs="Palatino Linotype" w:eastAsia="Palatino Linotype" w:hAnsi="Palatino Linotype"/>
          <w:sz w:val="22"/>
          <w:szCs w:val="22"/>
          <w:rtl w:val="0"/>
        </w:rPr>
        <w:t xml:space="preserve">Para el desahogo del Segundo punto del orden del día, se sometió a consideración de los asistentes la lectura y, en su caso, aprobación del orden del día. Se preguntó a los presentes si existía algún comentario o modificación al respecto, sin que hubiera alguno, por lo que se procedió a recabar la votación correspondiente emitiendo el siguiente acuerdo:</w:t>
      </w:r>
    </w:p>
    <w:p w:rsidR="00000000" w:rsidDel="00000000" w:rsidP="00000000" w:rsidRDefault="00000000" w:rsidRPr="00000000" w14:paraId="0000001A">
      <w:pPr>
        <w:spacing w:line="360" w:lineRule="auto"/>
        <w:ind w:right="49"/>
        <w:jc w:val="both"/>
        <w:rPr>
          <w:rFonts w:ascii="Palatino Linotype" w:cs="Palatino Linotype" w:eastAsia="Palatino Linotype" w:hAnsi="Palatino Linotype"/>
          <w:sz w:val="22"/>
          <w:szCs w:val="22"/>
        </w:rPr>
      </w:pPr>
      <w:r w:rsidDel="00000000" w:rsidR="00000000" w:rsidRPr="00000000">
        <w:rPr>
          <w:rtl w:val="0"/>
        </w:rPr>
      </w:r>
    </w:p>
    <w:tbl>
      <w:tblPr>
        <w:tblStyle w:val="Table1"/>
        <w:tblW w:w="9111.0" w:type="dxa"/>
        <w:jc w:val="left"/>
        <w:tblInd w:w="-115.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00"/>
      </w:tblPr>
      <w:tblGrid>
        <w:gridCol w:w="4555"/>
        <w:gridCol w:w="4556"/>
        <w:tblGridChange w:id="0">
          <w:tblGrid>
            <w:gridCol w:w="4555"/>
            <w:gridCol w:w="4556"/>
          </w:tblGrid>
        </w:tblGridChange>
      </w:tblGrid>
      <w:tr>
        <w:trPr>
          <w:cantSplit w:val="0"/>
          <w:tblHeader w:val="0"/>
        </w:trPr>
        <w:tc>
          <w:tcPr>
            <w:vAlign w:val="center"/>
          </w:tcPr>
          <w:p w:rsidR="00000000" w:rsidDel="00000000" w:rsidP="00000000" w:rsidRDefault="00000000" w:rsidRPr="00000000" w14:paraId="0000001B">
            <w:pPr>
              <w:spacing w:line="360" w:lineRule="auto"/>
              <w:ind w:right="49"/>
              <w:jc w:val="cente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STL/XVI/1/2023</w:t>
            </w: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357" w:right="51" w:firstLine="0"/>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sz w:val="22"/>
                <w:szCs w:val="22"/>
                <w:rtl w:val="0"/>
              </w:rPr>
              <w:t xml:space="preserve">S</w:t>
            </w:r>
            <w:r w:rsidDel="00000000" w:rsidR="00000000" w:rsidRPr="00000000">
              <w:rPr>
                <w:rFonts w:ascii="Palatino Linotype" w:cs="Palatino Linotype" w:eastAsia="Palatino Linotype" w:hAnsi="Palatino Linotype"/>
                <w:color w:val="000000"/>
                <w:sz w:val="22"/>
                <w:szCs w:val="22"/>
                <w:rtl w:val="0"/>
              </w:rPr>
              <w:t xml:space="preserve">e aprueba por unanimidad de votos </w:t>
            </w:r>
            <w:r w:rsidDel="00000000" w:rsidR="00000000" w:rsidRPr="00000000">
              <w:rPr>
                <w:rFonts w:ascii="Palatino Linotype" w:cs="Palatino Linotype" w:eastAsia="Palatino Linotype" w:hAnsi="Palatino Linotype"/>
                <w:sz w:val="22"/>
                <w:szCs w:val="22"/>
                <w:rtl w:val="0"/>
              </w:rPr>
              <w:t xml:space="preserve">el </w:t>
            </w:r>
            <w:r w:rsidDel="00000000" w:rsidR="00000000" w:rsidRPr="00000000">
              <w:rPr>
                <w:rFonts w:ascii="Palatino Linotype" w:cs="Palatino Linotype" w:eastAsia="Palatino Linotype" w:hAnsi="Palatino Linotype"/>
                <w:color w:val="000000"/>
                <w:sz w:val="22"/>
                <w:szCs w:val="22"/>
                <w:rtl w:val="0"/>
              </w:rPr>
              <w:t xml:space="preserve">orden del día, en sus términos.</w:t>
            </w:r>
          </w:p>
        </w:tc>
      </w:tr>
    </w:tbl>
    <w:p w:rsidR="00000000" w:rsidDel="00000000" w:rsidP="00000000" w:rsidRDefault="00000000" w:rsidRPr="00000000" w14:paraId="0000001D">
      <w:pPr>
        <w:spacing w:line="360" w:lineRule="auto"/>
        <w:ind w:right="51"/>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1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III.-</w:t>
      </w:r>
      <w:r w:rsidDel="00000000" w:rsidR="00000000" w:rsidRPr="00000000">
        <w:rPr>
          <w:rFonts w:ascii="Palatino Linotype" w:cs="Palatino Linotype" w:eastAsia="Palatino Linotype" w:hAnsi="Palatino Linotype"/>
          <w:sz w:val="22"/>
          <w:szCs w:val="22"/>
          <w:rtl w:val="0"/>
        </w:rPr>
        <w:t xml:space="preserve"> En el desahogo del Tercer punto del orden del día, referente a la aprobación del Acta de la Décimo Quinta Sesión ordinaria del STL de fecha 8 de noviembre de 2022, se señaló que el documento en mención fue remitido en días pasados por medios electrónicos a cada integrante del Secretariado para hacerlo de su conocimiento. En ese tenor se solicitó a los presentes sus observaciones al respecto o bien su aprobación en los términos propuestos, por lo que se procedió a la votación correspondiente para emitir el siguiente acuerdo:</w:t>
      </w:r>
    </w:p>
    <w:p w:rsidR="00000000" w:rsidDel="00000000" w:rsidP="00000000" w:rsidRDefault="00000000" w:rsidRPr="00000000" w14:paraId="0000001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tbl>
      <w:tblPr>
        <w:tblStyle w:val="Table2"/>
        <w:tblW w:w="9111.0" w:type="dxa"/>
        <w:jc w:val="left"/>
        <w:tblInd w:w="-115.0" w:type="dxa"/>
        <w:tblBorders>
          <w:top w:color="c9c9c9" w:space="0" w:sz="4" w:val="single"/>
          <w:left w:color="c9c9c9" w:space="0" w:sz="4" w:val="single"/>
          <w:bottom w:color="c9c9c9" w:space="0" w:sz="4" w:val="single"/>
          <w:right w:color="c9c9c9" w:space="0" w:sz="4" w:val="single"/>
          <w:insideH w:color="c9c9c9" w:space="0" w:sz="4" w:val="single"/>
          <w:insideV w:color="c9c9c9" w:space="0" w:sz="4" w:val="single"/>
        </w:tblBorders>
        <w:tblLayout w:type="fixed"/>
        <w:tblLook w:val="0400"/>
      </w:tblPr>
      <w:tblGrid>
        <w:gridCol w:w="4555"/>
        <w:gridCol w:w="4556"/>
        <w:tblGridChange w:id="0">
          <w:tblGrid>
            <w:gridCol w:w="4555"/>
            <w:gridCol w:w="4556"/>
          </w:tblGrid>
        </w:tblGridChange>
      </w:tblGrid>
      <w:tr>
        <w:trPr>
          <w:cantSplit w:val="0"/>
          <w:tblHeader w:val="0"/>
        </w:trPr>
        <w:tc>
          <w:tcPr>
            <w:vAlign w:val="center"/>
          </w:tcPr>
          <w:p w:rsidR="00000000" w:rsidDel="00000000" w:rsidP="00000000" w:rsidRDefault="00000000" w:rsidRPr="00000000" w14:paraId="00000020">
            <w:pPr>
              <w:spacing w:line="360" w:lineRule="auto"/>
              <w:ind w:right="49"/>
              <w:jc w:val="center"/>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STL/XVI/2/2023</w:t>
            </w:r>
            <w:r w:rsidDel="00000000" w:rsidR="00000000" w:rsidRPr="00000000">
              <w:rPr>
                <w:rtl w:val="0"/>
              </w:rPr>
            </w:r>
          </w:p>
        </w:tc>
        <w:tc>
          <w:tcPr/>
          <w:p w:rsidR="00000000" w:rsidDel="00000000" w:rsidP="00000000" w:rsidRDefault="00000000" w:rsidRPr="00000000" w14:paraId="00000021">
            <w:pPr>
              <w:spacing w:line="360" w:lineRule="auto"/>
              <w:ind w:left="357" w:right="51"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Se aprueba por unanimidad de votos el Acta de la Décimo Quinta Sesión Ordinaria del STL, de fecha 16 de diciembre de 2022.</w:t>
            </w:r>
          </w:p>
        </w:tc>
      </w:tr>
    </w:tbl>
    <w:p w:rsidR="00000000" w:rsidDel="00000000" w:rsidP="00000000" w:rsidRDefault="00000000" w:rsidRPr="00000000" w14:paraId="0000002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IV.- </w:t>
      </w:r>
      <w:r w:rsidDel="00000000" w:rsidR="00000000" w:rsidRPr="00000000">
        <w:rPr>
          <w:rFonts w:ascii="Palatino Linotype" w:cs="Palatino Linotype" w:eastAsia="Palatino Linotype" w:hAnsi="Palatino Linotype"/>
          <w:sz w:val="22"/>
          <w:szCs w:val="22"/>
          <w:rtl w:val="0"/>
        </w:rPr>
        <w:t xml:space="preserve">En el desarrollo del Cuarto punto se otorgó la palabra a José Martínez Vilchis, Comisionado Presidente del Instituto de Transparencia, Acceso a la Información Pública y Protección de Datos Personales del Estado de México y Municipios y Representante del Órgano Garante en ejercicio.</w:t>
      </w:r>
    </w:p>
    <w:p w:rsidR="00000000" w:rsidDel="00000000" w:rsidP="00000000" w:rsidRDefault="00000000" w:rsidRPr="00000000" w14:paraId="0000002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uso de la voz, el Comisionado Presidente del Infoem, José Martínez Vilchis, dio la bienvenida y agradeció la presencia de todos los participantes para el desarrollo de la sesión.</w:t>
      </w:r>
    </w:p>
    <w:p w:rsidR="00000000" w:rsidDel="00000000" w:rsidP="00000000" w:rsidRDefault="00000000" w:rsidRPr="00000000" w14:paraId="0000002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Hizo un breve recuento del avance en la implementación del Primer Plan de Acción Local, el cual se compone de dos partes: una con tres Compromisos Proactivos aprobados por el Secretariado y otra con seis Compromisos Cocreados liderados por la Secretaría de Justicia y Derechos Humanos del Gobierno de la entidad.</w:t>
      </w:r>
    </w:p>
    <w:p w:rsidR="00000000" w:rsidDel="00000000" w:rsidP="00000000" w:rsidRDefault="00000000" w:rsidRPr="00000000" w14:paraId="0000002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Destacó el compromiso del Instituto Electoral que operó durante las elecciones ordinarias y extraordinarias, con una buena aceptación por parte de la ciudadanía y los partidos políticos, gracias a un canal de comunicación novedoso entre electores y los institutos políticos con lo que se buscó mejorar el diálogo para fortalecer el esquema democrático del Estado. </w:t>
      </w:r>
    </w:p>
    <w:p w:rsidR="00000000" w:rsidDel="00000000" w:rsidP="00000000" w:rsidRDefault="00000000" w:rsidRPr="00000000" w14:paraId="0000002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También, reconoció el impulso del Poder Judicial, a través de su Compromiso, para dar atención a jóvenes para incorporarse plenamente a la sociedad y ofrecerles herramientas necesarias para su inserción en la vida comunitaria, con un sentido humanista en la labor de la Justicia.</w:t>
      </w:r>
    </w:p>
    <w:p w:rsidR="00000000" w:rsidDel="00000000" w:rsidP="00000000" w:rsidRDefault="00000000" w:rsidRPr="00000000" w14:paraId="0000002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cuanto al compromiso del Instituto de Transparencia, señaló que se ha trabajado arduamente para dar cumplimiento a los compromisos del Plan; al respecto se presentará en esta sesión la segunda y última etapa del Estudio de Apertura Gubernamental que arroja resultados interesantes e insumos valiosos para identificar áreas de oportunidad para trabajar de la mano con los municipios y dar realce a la agenda de Gobierno Abierto.</w:t>
      </w:r>
    </w:p>
    <w:p w:rsidR="00000000" w:rsidDel="00000000" w:rsidP="00000000" w:rsidRDefault="00000000" w:rsidRPr="00000000" w14:paraId="0000002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su vez, reconoció públicamente la labor de los integrantes de la Sociedad Civil por su compromiso y perseverancia, y mencionó que sus aportes han robustecido y fortalecido al grado tal que han resultado en una interacción saludable tanto para los entes públicos como para todos aquellos que han seguido de manera directa o indirecta lo que se realiza en el Estado de México.</w:t>
      </w:r>
    </w:p>
    <w:p w:rsidR="00000000" w:rsidDel="00000000" w:rsidP="00000000" w:rsidRDefault="00000000" w:rsidRPr="00000000" w14:paraId="0000003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Para finalizar, instó a hacer votos para lograr la meta de abrir brecha con la ciudadanía y </w:t>
      </w:r>
      <w:r w:rsidDel="00000000" w:rsidR="00000000" w:rsidRPr="00000000">
        <w:rPr>
          <w:rFonts w:ascii="Palatino Linotype" w:cs="Palatino Linotype" w:eastAsia="Palatino Linotype" w:hAnsi="Palatino Linotype"/>
          <w:sz w:val="22"/>
          <w:szCs w:val="22"/>
          <w:rtl w:val="0"/>
        </w:rPr>
        <w:t xml:space="preserve">motivarla a</w:t>
      </w:r>
      <w:r w:rsidDel="00000000" w:rsidR="00000000" w:rsidRPr="00000000">
        <w:rPr>
          <w:rFonts w:ascii="Palatino Linotype" w:cs="Palatino Linotype" w:eastAsia="Palatino Linotype" w:hAnsi="Palatino Linotype"/>
          <w:sz w:val="22"/>
          <w:szCs w:val="22"/>
          <w:rtl w:val="0"/>
        </w:rPr>
        <w:t xml:space="preserve"> participar en las instituciones públicas, rumbo a la implementación no solo del Gobierno Abierto, sino de un Estado Abierto, que es una aspiración natural de toda sociedad democrática que evoluciona positivamente como la nuestra.</w:t>
      </w:r>
    </w:p>
    <w:p w:rsidR="00000000" w:rsidDel="00000000" w:rsidP="00000000" w:rsidRDefault="00000000" w:rsidRPr="00000000" w14:paraId="00000032">
      <w:pPr>
        <w:widowControl w:val="0"/>
        <w:spacing w:before="37" w:line="360" w:lineRule="auto"/>
        <w:ind w:right="-92"/>
        <w:jc w:val="both"/>
        <w:rPr>
          <w:rFonts w:ascii="Palatino Linotype" w:cs="Palatino Linotype" w:eastAsia="Palatino Linotype" w:hAnsi="Palatino Linotype"/>
          <w:sz w:val="22"/>
          <w:szCs w:val="22"/>
          <w:highlight w:val="green"/>
        </w:rPr>
      </w:pPr>
      <w:r w:rsidDel="00000000" w:rsidR="00000000" w:rsidRPr="00000000">
        <w:rPr>
          <w:rtl w:val="0"/>
        </w:rPr>
      </w:r>
    </w:p>
    <w:p w:rsidR="00000000" w:rsidDel="00000000" w:rsidP="00000000" w:rsidRDefault="00000000" w:rsidRPr="00000000" w14:paraId="0000003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concluido el mensaje de bienvenida del Comisionado Vilchis, se procedió a continuar con el siguiente punto del orden del día.</w:t>
      </w:r>
    </w:p>
    <w:p w:rsidR="00000000" w:rsidDel="00000000" w:rsidP="00000000" w:rsidRDefault="00000000" w:rsidRPr="00000000" w14:paraId="0000003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V.-</w:t>
      </w:r>
      <w:r w:rsidDel="00000000" w:rsidR="00000000" w:rsidRPr="00000000">
        <w:rPr>
          <w:rFonts w:ascii="Palatino Linotype" w:cs="Palatino Linotype" w:eastAsia="Palatino Linotype" w:hAnsi="Palatino Linotype"/>
          <w:sz w:val="22"/>
          <w:szCs w:val="22"/>
          <w:rtl w:val="0"/>
        </w:rPr>
        <w:t xml:space="preserve"> Para el desahogo del Quinto punto del orden del día, se dió la palabra a la Consejera de la Judicatura, Fabiola Catalina Aparicio Perales, en representación de Ricardo Alfredo Sodi Cuéllar, Magistrado Presidente del Tribunal Superior de Justicia  del Estado de México, para exponer Presentación de avances del Compromiso Proactivo del Poder Judicial;</w:t>
      </w:r>
    </w:p>
    <w:p w:rsidR="00000000" w:rsidDel="00000000" w:rsidP="00000000" w:rsidRDefault="00000000" w:rsidRPr="00000000" w14:paraId="0000003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Consejera de la Judicatura, dió cuenta de los avances en el compromiso asumido por el Poder Judicial del Estado de México, a través de la implementación del Programa de Círculos Restaurativos para los Centros de Asistencia Social, así como la elaboración del manual correspondiente. </w:t>
      </w:r>
    </w:p>
    <w:p w:rsidR="00000000" w:rsidDel="00000000" w:rsidP="00000000" w:rsidRDefault="00000000" w:rsidRPr="00000000" w14:paraId="0000003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Recapituló</w:t>
      </w:r>
      <w:r w:rsidDel="00000000" w:rsidR="00000000" w:rsidRPr="00000000">
        <w:rPr>
          <w:rFonts w:ascii="Palatino Linotype" w:cs="Palatino Linotype" w:eastAsia="Palatino Linotype" w:hAnsi="Palatino Linotype"/>
          <w:sz w:val="22"/>
          <w:szCs w:val="22"/>
          <w:rtl w:val="0"/>
        </w:rPr>
        <w:t xml:space="preserve"> brevemente las cuatro fases en que se desarrolló: la primera que fué la selección de jóvenes para el grupo piloto; la segunda fase consistió en entrevistar a este grupo de jóvenes en instituciones para sensibilizarlos sobre el proyecto y prepararlos para enfrentar una vida fuera de la institución. En la tercera fase, se identificaron a las Organizaciones de Sociedad Civil participantes que </w:t>
      </w:r>
      <w:r w:rsidDel="00000000" w:rsidR="00000000" w:rsidRPr="00000000">
        <w:rPr>
          <w:rFonts w:ascii="Palatino Linotype" w:cs="Palatino Linotype" w:eastAsia="Palatino Linotype" w:hAnsi="Palatino Linotype"/>
          <w:sz w:val="22"/>
          <w:szCs w:val="22"/>
          <w:rtl w:val="0"/>
        </w:rPr>
        <w:t xml:space="preserve">colaborarían</w:t>
      </w:r>
      <w:r w:rsidDel="00000000" w:rsidR="00000000" w:rsidRPr="00000000">
        <w:rPr>
          <w:rFonts w:ascii="Palatino Linotype" w:cs="Palatino Linotype" w:eastAsia="Palatino Linotype" w:hAnsi="Palatino Linotype"/>
          <w:sz w:val="22"/>
          <w:szCs w:val="22"/>
          <w:rtl w:val="0"/>
        </w:rPr>
        <w:t xml:space="preserve"> en el proyecto, a las cuales se les brindó capacitación por parte de la Dirección de Mediación, para entrenarlos en círculos de paz y conocer los valores, principios y operación de los círculos restaurativos. En la fase actual del programa, se está aplicando el formato de plan de vida a cada adolescente, a través de entrevistas individualizadas con facilitadores para detectar sus intereses y necesidades. Se espera realizar un seguimiento de las actividades propuestas por cada adolescente respaldadas por las instituciones participantes, señalando que las necesidades detectadas por las entrevistas individuales incluyen la estancia, el esparcimiento, la capacitación laboral, la salud y el acompañamiento jurídico, entre otras.</w:t>
      </w:r>
    </w:p>
    <w:p w:rsidR="00000000" w:rsidDel="00000000" w:rsidP="00000000" w:rsidRDefault="00000000" w:rsidRPr="00000000" w14:paraId="0000003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indicó que que el Poder Judicial entregue un manual para la Sociedad Civil participante, lo que permitiría replicar el programa en el futuro, así como la entrega del Catálogo de Asistencia Social la cual se encuentra programada para julio de este año, mientras que la aplicación del formato de plan de vida a cada adolescente está proyectada del 1 al 17 de marzo.</w:t>
      </w:r>
    </w:p>
    <w:p w:rsidR="00000000" w:rsidDel="00000000" w:rsidP="00000000" w:rsidRDefault="00000000" w:rsidRPr="00000000" w14:paraId="0000003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acuerdo al desarrollo del Compromiso, la Consejera de la Judicatura comentó la valía de este, ya que trata sobre jóvenes que están en una Institución desde pequeños y cuando alcanzan la mayoría de edad, se les pregunta si quieren quedarse o irse. Aunque se les da educación y herramientas, muchos deciden irse y esto preocupa porque algunos de ellos han cometido delitos graves y necesitan aprender habilidades para sobrevivir en la sociedad. </w:t>
      </w:r>
    </w:p>
    <w:p w:rsidR="00000000" w:rsidDel="00000000" w:rsidP="00000000" w:rsidRDefault="00000000" w:rsidRPr="00000000" w14:paraId="0000003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terminada la exposición correspondiente, se abrió un espacio para comentarios de los presentes.</w:t>
      </w:r>
    </w:p>
    <w:p w:rsidR="00000000" w:rsidDel="00000000" w:rsidP="00000000" w:rsidRDefault="00000000" w:rsidRPr="00000000" w14:paraId="0000004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respecto el Representante Titular de la Sociedad Civil, Carlos de la Peña Jimenez O´Farril reconoció que el Poder Judicial haya logrado el objetivo de comprometerse en este proyecto, destacando que éste iniciará de manera positiva en la vida de la gente,  agradeciendo el trabajo del equipo de trabajo del Poder Judicial realizado.</w:t>
      </w:r>
    </w:p>
    <w:p w:rsidR="00000000" w:rsidDel="00000000" w:rsidP="00000000" w:rsidRDefault="00000000" w:rsidRPr="00000000" w14:paraId="0000004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su vez, el Representante Suplente del Órgano Garante, Luis Gustavo Parra Noriega, reconoció el trabajo del Poder Judicial en cuanto a su Compromiso Proactivo con la sociedad, específicamente en temas de transparencia y participación ciudadana. Mencionó que este compromiso ha avanzado de manera profunda y se espera que pueda continuar en el futuro, sumándose a proyectos que cumplan con los parámetros de Gobierno Abierto, destacando su importancia en cuestión por su enfoque en segundas oportunidades y la Justicia restaurativa, que permite reinsertar a las personas que cometieron errores en la sociedad.</w:t>
      </w:r>
    </w:p>
    <w:p w:rsidR="00000000" w:rsidDel="00000000" w:rsidP="00000000" w:rsidRDefault="00000000" w:rsidRPr="00000000" w14:paraId="0000004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su parte, el Representante Suplente de la Sociedad Civil, Enrique Serrano Arenas, también felicitó al Poder Judicial por el trabajo que han llevado a cabo en el tema de Gobierno Abierto y Transparencia Proactiva, destacando el interés demostrado por el Magistrado Ricardo Sodi Cuéllar desde sus inicios. Además, resaltó el cuidado de cada fase para que este trabajo se convierta en un ejemplo del trato que se debe tener hacia la población y ciudadanía, marcando una pauta para que las instituciones estatales se integren en esta fortaleza del Gobierno Abierto, Finalmente, reconoció, el trabajo del Poder Judicial como ejemplo de lo que pueden ser las instituciones con la colaboración con la Sociedad Civil al permitir proponer y realizar estas acciones. </w:t>
      </w:r>
    </w:p>
    <w:p w:rsidR="00000000" w:rsidDel="00000000" w:rsidP="00000000" w:rsidRDefault="00000000" w:rsidRPr="00000000" w14:paraId="0000004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escuchadas las intervenciones de los presentes, se continuó con el órden del día previsto.</w:t>
      </w:r>
    </w:p>
    <w:p w:rsidR="00000000" w:rsidDel="00000000" w:rsidP="00000000" w:rsidRDefault="00000000" w:rsidRPr="00000000" w14:paraId="0000004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VI.- </w:t>
      </w:r>
      <w:r w:rsidDel="00000000" w:rsidR="00000000" w:rsidRPr="00000000">
        <w:rPr>
          <w:rFonts w:ascii="Palatino Linotype" w:cs="Palatino Linotype" w:eastAsia="Palatino Linotype" w:hAnsi="Palatino Linotype"/>
          <w:sz w:val="22"/>
          <w:szCs w:val="22"/>
          <w:rtl w:val="0"/>
        </w:rPr>
        <w:t xml:space="preserve">Para el desahogo del Sexto punto del orden del día, relativo a la Presentación de avances de los Compromisos del Instituto de Transparencia, Acceso a la Información Pública y Protección de Datos Personales del Estado de México y Municipios, por parte de Luis Gustavo Parra Noriega, Comisionado del Infoem.</w:t>
      </w:r>
    </w:p>
    <w:p w:rsidR="00000000" w:rsidDel="00000000" w:rsidP="00000000" w:rsidRDefault="00000000" w:rsidRPr="00000000" w14:paraId="0000004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El Representante Suplente del Órgano Garante, Luis Gustavo Parra Noriega, abordó los avances de los Compromisos registrados ante la OGP por parte del Infoem, los cuales también fueron aprobados por el Secretariado Técnico Local. En este sentido, compartió que, el Infoem lideró dos Compromisos, siendo el primero el Fortalecimiento de los Medios de Acceso a la Transparencia Pública, Datos Abiertos y de Interés Público, y el segundo, Generar Alianzas con los Municipios del Estado de México para la Difusión del uso y beneficio del Acceso a la Información, ambos desdoblados en distintas líneas de acción.</w:t>
      </w:r>
    </w:p>
    <w:p w:rsidR="00000000" w:rsidDel="00000000" w:rsidP="00000000" w:rsidRDefault="00000000" w:rsidRPr="00000000" w14:paraId="0000004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Respecto del primer compromiso comentó que, en su acción uno, de mejora de las plataformas tecnológicas existentes para el ejercicio del derecho de acceso a la información, se cuenta con un grado importante de avances ya que la Dirección General de Informática de esta institución se ha dado la tarea de rediseñar la página institucional y además de incluir en la página institucional un mecanismo que permite a la ciudadanía una mejor navegación mejor experiencia para sobre todo la búsqueda la información.</w:t>
      </w:r>
    </w:p>
    <w:p w:rsidR="00000000" w:rsidDel="00000000" w:rsidP="00000000" w:rsidRDefault="00000000" w:rsidRPr="00000000" w14:paraId="0000004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4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parte de la líneas de acción dos y tres, compartió que, tanto “Incluir en las plataformas digitales mecanismos que permitan facilitar la participación de los usuarios respecto a la información pública obtenida”, así como “Contar la existencia de un mecanismo de participación ciudadana para mejorar lo que se publica en la página institucional”, se creó una encuesta de satisfacción por medio de la cual usuarios pueden calificar la información así como dejar comentarios sugerencias para que se mejore esta experiencia de navegación el sitio web del del Infoem.</w:t>
      </w:r>
    </w:p>
    <w:p w:rsidR="00000000" w:rsidDel="00000000" w:rsidP="00000000" w:rsidRDefault="00000000" w:rsidRPr="00000000" w14:paraId="0000005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cuanto al segundo compromiso comentó de su acción uno, “Dar mayor difusión a las páginas de acceso a la información y rendición de cuentas, a través de las diversas tecnologías de la información y comunicación”, se centra en darle amplia difusión a las páginas de acceso a la información y redención de cuentas por lo cual también se destaca el papel del asistente virtual "</w:t>
      </w:r>
      <w:r w:rsidDel="00000000" w:rsidR="00000000" w:rsidRPr="00000000">
        <w:rPr>
          <w:rFonts w:ascii="Palatino Linotype" w:cs="Palatino Linotype" w:eastAsia="Palatino Linotype" w:hAnsi="Palatino Linotype"/>
          <w:sz w:val="22"/>
          <w:szCs w:val="22"/>
          <w:rtl w:val="0"/>
        </w:rPr>
        <w:t xml:space="preserve">Quio</w:t>
      </w:r>
      <w:r w:rsidDel="00000000" w:rsidR="00000000" w:rsidRPr="00000000">
        <w:rPr>
          <w:rFonts w:ascii="Palatino Linotype" w:cs="Palatino Linotype" w:eastAsia="Palatino Linotype" w:hAnsi="Palatino Linotype"/>
          <w:sz w:val="22"/>
          <w:szCs w:val="22"/>
          <w:rtl w:val="0"/>
        </w:rPr>
        <w:t xml:space="preserve">" que permite replicar la información alojada en la página, cumpliendo con una doble función en la promoción y difusión de la información.</w:t>
      </w:r>
    </w:p>
    <w:p w:rsidR="00000000" w:rsidDel="00000000" w:rsidP="00000000" w:rsidRDefault="00000000" w:rsidRPr="00000000" w14:paraId="0000005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acción dos busca “Identificar y publicar información útil y actualizada para consulta de la ciudadanía a través de infografías”. En este sentido, se generan constantemente diversos contenidos con información relevante para la ciudadanía en materia de acceso a la información, transparencia proactiva, gobierno abierto y protección de datos que son puestos a disposición del público para su descarga y socialización.</w:t>
      </w:r>
    </w:p>
    <w:p w:rsidR="00000000" w:rsidDel="00000000" w:rsidP="00000000" w:rsidRDefault="00000000" w:rsidRPr="00000000" w14:paraId="0000005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acción tres plantea el “Impulso a convenios con aliados estratégicos para difundir la agenda de acceso a la información”.En ello destacó la reciente adhesión de 18 municipios al Modelo Regional de Transparencia, la cual es una herramienta a nivel internacional que provee de directrices generales para que las instituciones públicas mejoren la transparencia y la rendición de cuentas.</w:t>
      </w:r>
    </w:p>
    <w:p w:rsidR="00000000" w:rsidDel="00000000" w:rsidP="00000000" w:rsidRDefault="00000000" w:rsidRPr="00000000" w14:paraId="0000005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acción cuatro compromete esfuerzos del Infoem para realizar acercamientos con la población que no tiene acceso a internet a fin de presentar y promover el derecho de acceso a la información. En este sentido comentó que se han realizado diversas visitas a municipios de la entidad con la actividad llamada "Pleno Itinerante", en la que las y los integrantes del Pleno acuden a una plaza pública o un foro abierto para llevar a cabo la sesión ordinaria y dar a conocer el trabajo que realiza el Instituto. </w:t>
      </w:r>
    </w:p>
    <w:p w:rsidR="00000000" w:rsidDel="00000000" w:rsidP="00000000" w:rsidRDefault="00000000" w:rsidRPr="00000000" w14:paraId="0000005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La línea de acción cinco, sobre “Implementar cursos dirigidos a la sociedad en general en diversas temáticas relacionadas con el quehacer y los objetivos del Infoem”, precisó que, actualmente, el Instituto cuenta con un Aula Virtual en la página institucional que ofrece cursos gratuitos en materia de Transparencia, Acceso a la Información, Gobierno Abierto, Transparencia Proactiva y Datos Abiertos. Es importante destacar que los usuarios que acrediten satisfactoriamente las evaluaciones de los cursos recibirán una constancia que avala su conclusión adecuada.</w:t>
      </w:r>
    </w:p>
    <w:p w:rsidR="00000000" w:rsidDel="00000000" w:rsidP="00000000" w:rsidRDefault="00000000" w:rsidRPr="00000000" w14:paraId="0000005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cuanto a la sexta y última línea de acción de este Compromiso, </w:t>
      </w:r>
      <w:r w:rsidDel="00000000" w:rsidR="00000000" w:rsidRPr="00000000">
        <w:rPr>
          <w:rFonts w:ascii="Palatino Linotype" w:cs="Palatino Linotype" w:eastAsia="Palatino Linotype" w:hAnsi="Palatino Linotype"/>
          <w:sz w:val="22"/>
          <w:szCs w:val="22"/>
          <w:rtl w:val="0"/>
        </w:rPr>
        <w:t xml:space="preserve">enfocada</w:t>
      </w:r>
      <w:r w:rsidDel="00000000" w:rsidR="00000000" w:rsidRPr="00000000">
        <w:rPr>
          <w:rFonts w:ascii="Palatino Linotype" w:cs="Palatino Linotype" w:eastAsia="Palatino Linotype" w:hAnsi="Palatino Linotype"/>
          <w:sz w:val="22"/>
          <w:szCs w:val="22"/>
          <w:rtl w:val="0"/>
        </w:rPr>
        <w:t xml:space="preserve"> a la “Generación de mecanismos de capacitación, actualización y profesionalización en varios rubros para los servidores públicos de nivel local y municipal integrantes de los sujetos obligados”, informó que, se realizan certificaciones y capacitaciones para los servidores públicos y Titulares de las Unidades de Transparencia, lo cual fomenta un entorno altamente profesional para que los Sujetos Obligados cumplan con la responsabilidad de garantizar el derecho de acceso a la información a la ciudadanía Mexiquense. </w:t>
      </w:r>
    </w:p>
    <w:p w:rsidR="00000000" w:rsidDel="00000000" w:rsidP="00000000" w:rsidRDefault="00000000" w:rsidRPr="00000000" w14:paraId="0000005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lo que se refiere a los avances del Compromiso Proactivo denominado “Estrategia de Fortalecimiento de la Cultura de Gobierno Abierto”, destacó que una de las líneas de acción es la elaboración de un Estudio de Apertura Gubernamental a Nivel Municipal y detalló que en la segunda etapa de la integración del estudio se recabó información desde la mirada ciudadana, con la finalidad de realizar un cruce de información que permita corroborar o no lo que contestaron las fuentes oficiales. </w:t>
      </w:r>
    </w:p>
    <w:p w:rsidR="00000000" w:rsidDel="00000000" w:rsidP="00000000" w:rsidRDefault="00000000" w:rsidRPr="00000000" w14:paraId="0000005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5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Indicó que este ejercicio permaneció abierto hasta el 15 de febrero, participando 45 ciudadanos de 18 municipios, aclarando que, metodológicamente, los hallazgos no pueden ser considerados contundentes debido a la muestra obtenida, pero sí ofrecen una radiografía interesante de la situación que priva en </w:t>
      </w:r>
      <w:r w:rsidDel="00000000" w:rsidR="00000000" w:rsidRPr="00000000">
        <w:rPr>
          <w:rFonts w:ascii="Palatino Linotype" w:cs="Palatino Linotype" w:eastAsia="Palatino Linotype" w:hAnsi="Palatino Linotype"/>
          <w:sz w:val="22"/>
          <w:szCs w:val="22"/>
          <w:rtl w:val="0"/>
        </w:rPr>
        <w:t xml:space="preserve">esos</w:t>
      </w:r>
      <w:r w:rsidDel="00000000" w:rsidR="00000000" w:rsidRPr="00000000">
        <w:rPr>
          <w:rFonts w:ascii="Palatino Linotype" w:cs="Palatino Linotype" w:eastAsia="Palatino Linotype" w:hAnsi="Palatino Linotype"/>
          <w:sz w:val="22"/>
          <w:szCs w:val="22"/>
          <w:rtl w:val="0"/>
        </w:rPr>
        <w:t xml:space="preserve"> 18 municipios respecto a cómo alentar esquemas de apertura gubernamental. Para comprender mejor lo anterior, presentó algunos de los resultados más relevantes de las dimensiones analíticas que componen el estudio.</w:t>
      </w:r>
    </w:p>
    <w:p w:rsidR="00000000" w:rsidDel="00000000" w:rsidP="00000000" w:rsidRDefault="00000000" w:rsidRPr="00000000" w14:paraId="0000006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primer lugar en la dimensión de Normatividad destacó que los mecanismos más visibles que identifica el ciudadano para participar son los  Comités de Participación Ciudadana, y son estos los primeros referentes sociales que desde esta visión ayudan a promover la toma de decisiones colectivas y el combate a la corrupción.</w:t>
      </w:r>
    </w:p>
    <w:p w:rsidR="00000000" w:rsidDel="00000000" w:rsidP="00000000" w:rsidRDefault="00000000" w:rsidRPr="00000000" w14:paraId="0000006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la dimensión de Participación Ciudadana, resaltó que la mayoría de los ciudadanos que respondieron conocen o saben de la existencia de una unidad administrativa que atiende peticiones ciudadanas. Sin embargo, contrasta con un importante porcentaje que desconoce o afirma que no hay instancias municipales para detectar adecuadamente necesidades sociales. Además, casi un 90% no sabe de la existencia de estrategias de solución conjunta a problemas públicos, siendo únicamente los ejercicios de Cabildo Abierto y Asambleas las que aparecen en el colectivo como dichas oportunidades. </w:t>
      </w:r>
    </w:p>
    <w:p w:rsidR="00000000" w:rsidDel="00000000" w:rsidP="00000000" w:rsidRDefault="00000000" w:rsidRPr="00000000" w14:paraId="0000006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el rubro de Transparencia, expuso que la mayoría de los ciudadanos conocen la página web de sus municipios y consideran que cuentan con información actualizada. Sin embargo, ello no se corresponde con el hecho de que no hay una debida difusión de los temas relacionados con la transparencia y el acceso a la información, además, es consistente con el desconocimiento sobre si se publica información o no en datos abiertos.</w:t>
      </w:r>
    </w:p>
    <w:p w:rsidR="00000000" w:rsidDel="00000000" w:rsidP="00000000" w:rsidRDefault="00000000" w:rsidRPr="00000000" w14:paraId="0000006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Respecto a la dimensión de Rendición de Cuentas, compartió que los hallazgos revelan que en consideración de los ciudadanos, estos 18 municipios no promueven una adecuada rendición de cuentas, ni tampoco la forma en que la sociedad puede evaluar la gestión pública. Además, destaca que un porcentaje muy bajo de personas conocen los sistemas municipales anticorrupción, lo cual pudiera también ser considerado como un área de atención prioritaria para difundir la existencia de estos sistemas.</w:t>
      </w:r>
    </w:p>
    <w:p w:rsidR="00000000" w:rsidDel="00000000" w:rsidP="00000000" w:rsidRDefault="00000000" w:rsidRPr="00000000" w14:paraId="0000006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También señaló que, el estudio completo está en un proceso de diseño y será lanzado en su oportunidad y publicado en un formato de datos abiertos para que los interesados puedan conocer su estructura y resultados, y sirva como un insumo para el análisis y el diseño de políticas públicas colaborativas.</w:t>
      </w:r>
    </w:p>
    <w:p w:rsidR="00000000" w:rsidDel="00000000" w:rsidP="00000000" w:rsidRDefault="00000000" w:rsidRPr="00000000" w14:paraId="0000006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Relacionado con la evaluación del Plan de Acción Local, se mencionó que se está en un proceso de revisión de las metodologías que se van a tener y hay una primera propuesta de evaluación del propio Plan, la cual se estará proponiendo y compartiendo con el Secretariado. Se buscará enriquecer esta propuesta con la finalidad de cerrar todos los compromisos adquiridos y esto </w:t>
      </w:r>
      <w:r w:rsidDel="00000000" w:rsidR="00000000" w:rsidRPr="00000000">
        <w:rPr>
          <w:rFonts w:ascii="Palatino Linotype" w:cs="Palatino Linotype" w:eastAsia="Palatino Linotype" w:hAnsi="Palatino Linotype"/>
          <w:sz w:val="22"/>
          <w:szCs w:val="22"/>
          <w:rtl w:val="0"/>
        </w:rPr>
        <w:t xml:space="preserve">implicará</w:t>
      </w:r>
      <w:r w:rsidDel="00000000" w:rsidR="00000000" w:rsidRPr="00000000">
        <w:rPr>
          <w:rFonts w:ascii="Palatino Linotype" w:cs="Palatino Linotype" w:eastAsia="Palatino Linotype" w:hAnsi="Palatino Linotype"/>
          <w:sz w:val="22"/>
          <w:szCs w:val="22"/>
          <w:rtl w:val="0"/>
        </w:rPr>
        <w:t xml:space="preserve"> una fase de evaluación en su momento.</w:t>
      </w:r>
    </w:p>
    <w:p w:rsidR="00000000" w:rsidDel="00000000" w:rsidP="00000000" w:rsidRDefault="00000000" w:rsidRPr="00000000" w14:paraId="0000006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Una vez terminada esta participación, se abrió un espacio de comentarios por parte los integrantes del Secretariado.</w:t>
      </w:r>
    </w:p>
    <w:p w:rsidR="00000000" w:rsidDel="00000000" w:rsidP="00000000" w:rsidRDefault="00000000" w:rsidRPr="00000000" w14:paraId="0000006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su intervención, el Representante Titular del Órgano Garante, José Martínez Vilchis, enfatizó la importancia de los estudios de apertura gubernamental y de recabar la opinión de los ciudadanos sobre temas del gobierno, que lamentablemente, en nuestro país no todas las esferas gubernamentales consideran la participación ciudadana y la independencia de órganos autónomos constitucionales como lo más adecuado. Es por eso que, como mexicanos, se debe defender la participación de los ciudadanos en todo lo que tiene que ver con la esfera gubernamental.</w:t>
      </w:r>
    </w:p>
    <w:p w:rsidR="00000000" w:rsidDel="00000000" w:rsidP="00000000" w:rsidRDefault="00000000" w:rsidRPr="00000000" w14:paraId="0000007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Recalcó que, s</w:t>
      </w:r>
      <w:r w:rsidDel="00000000" w:rsidR="00000000" w:rsidRPr="00000000">
        <w:rPr>
          <w:rFonts w:ascii="Palatino Linotype" w:cs="Palatino Linotype" w:eastAsia="Palatino Linotype" w:hAnsi="Palatino Linotype"/>
          <w:sz w:val="22"/>
          <w:szCs w:val="22"/>
          <w:rtl w:val="0"/>
        </w:rPr>
        <w:t xml:space="preserve">i no</w:t>
      </w:r>
      <w:r w:rsidDel="00000000" w:rsidR="00000000" w:rsidRPr="00000000">
        <w:rPr>
          <w:rFonts w:ascii="Palatino Linotype" w:cs="Palatino Linotype" w:eastAsia="Palatino Linotype" w:hAnsi="Palatino Linotype"/>
          <w:sz w:val="22"/>
          <w:szCs w:val="22"/>
          <w:rtl w:val="0"/>
        </w:rPr>
        <w:t xml:space="preserve"> se promueve la participación ciudadana, se puede retroceder años en términos democráticos. México ha logrado mucho en la instalación de órganos autónomos y en la imagen que tienen los procesos electorales y sus órganos a nivel internacional. Por lo tanto, es responsabilidad apoyar los compromisos y esfuerzos que se están haciendo para conocer la opinión de los ciudadanos sobre sus gobiernos.</w:t>
      </w:r>
    </w:p>
    <w:p w:rsidR="00000000" w:rsidDel="00000000" w:rsidP="00000000" w:rsidRDefault="00000000" w:rsidRPr="00000000" w14:paraId="0000007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Para finalizar, destacó que es importante recordar que no se puede centralizar el poder de la información y dejar que los ciudadanos lo hagan y se deben promover la participación ciudadana y la apertura gubernamental.</w:t>
      </w:r>
    </w:p>
    <w:p w:rsidR="00000000" w:rsidDel="00000000" w:rsidP="00000000" w:rsidRDefault="00000000" w:rsidRPr="00000000" w14:paraId="0000007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su intervención, el Representante Titular de Sociedad Civil, Carlos de la Peña, recordó el refrán de "el buen juez empieza por su casa" y hace referencia a la labor del Infoem como un claro ejemplo de que se han venido haciendo cosas diferentes y buenas en materia de transparencia gubernamental.</w:t>
      </w:r>
    </w:p>
    <w:p w:rsidR="00000000" w:rsidDel="00000000" w:rsidP="00000000" w:rsidRDefault="00000000" w:rsidRPr="00000000" w14:paraId="0000007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Destacó la importancia de no permitir un retroceso en este tema, ya que la ideología de la transparencia gubernamental cuenta con el respaldo de la sociedad, reconociendo el trabajo del equipo del Infoem y su herramienta digital “Quio” como una forma de hacer más digerible y entendible la información en un estado con características sociodemográficas y geográficas diversas.</w:t>
      </w:r>
    </w:p>
    <w:p w:rsidR="00000000" w:rsidDel="00000000" w:rsidP="00000000" w:rsidRDefault="00000000" w:rsidRPr="00000000" w14:paraId="0000007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hizo un llamado a la sociedad civil a sumarse a los esfuerzos de transparencia y participación ciudadana, y a hacer una autocrítica para reconocer que las herramientas de transparencia y participación van más allá de un simple cumplimiento normativo. Finalmente, se comprometió a seguir apoyando los esfuerzos en estas materias y a redoblar los esfuerzos en este tema en el futuro.</w:t>
      </w:r>
    </w:p>
    <w:p w:rsidR="00000000" w:rsidDel="00000000" w:rsidP="00000000" w:rsidRDefault="00000000" w:rsidRPr="00000000" w14:paraId="0000007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su parte, el Representante Suplente de Sociedad Civil, Enrique Serrano Arenas, comenzó su intervención haciendo eco de los comentarios del Comisionado Presidente del Infoem, sobre las instituciones autónomas, comentando que éstas no solo han logrado un equilibrio de poderes, sino que también han avanzado en los derechos fundamentales de los ciudadanos y en un estado de derecho. Añadió que estos años de avance han conseguido una gran confianza, cercanía y legitimidad con la población, por lo que considera muy acertado el comentario sobre el fortalecimiento de estas instituciones, especialmente los órganos garantes.</w:t>
      </w:r>
    </w:p>
    <w:p w:rsidR="00000000" w:rsidDel="00000000" w:rsidP="00000000" w:rsidRDefault="00000000" w:rsidRPr="00000000" w14:paraId="0000007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continuación, mencionó que se recibió mensajes de sus colegas del Núcleo de Sociedad Civil que felicitaron el trabajo, esfuerzo y resultados de la iniciativa que empezó como una idea y ha pasado de la teoría a la práctica de manera muy ventajosa y real, señalando que los ciudadanos ahora pueden consultar los datos desglosados en Excel para tener argumentos más sólidos, pero sobre todo, el interés es llevarlo a la práctica en los municipios, considerando que sea una ruta para trabajar de manera directa en los municipios, ya que muchos de los resultados exhortan a trabajar en ellos desde la sociedad civil.</w:t>
      </w:r>
    </w:p>
    <w:p w:rsidR="00000000" w:rsidDel="00000000" w:rsidP="00000000" w:rsidRDefault="00000000" w:rsidRPr="00000000" w14:paraId="0000007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También destacó la importancia de que la sociedad civil se involucre en la propuesta de avances en los retos de apertura gubernamental o de transparencia en sus municipios, manifestando que muchas veces los ciudadanos o habitantes de esos municipios tienen más eco, y pueden identificar de manera más puntual y práctica algunos avances, por lo que consideró la importancia de que los ciudadanos y autoridades gubernamentales trabajen juntos para proponer soluciones.</w:t>
      </w:r>
    </w:p>
    <w:p w:rsidR="00000000" w:rsidDel="00000000" w:rsidP="00000000" w:rsidRDefault="00000000" w:rsidRPr="00000000" w14:paraId="0000008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uso de la voz, la Consejera de la Judicatura, Fabiola Catalina Aparicio Perales, agradeció al Comisionado Presidente y a su equipo por su trabajo en la institución, describiendo que en muchas ocasiones los usuarios no comprenden todo lo que se tiene que hacer en las instituciones para poder hacer ciertas cosas, destacando que tanto las críticas como los aplausos son bienvenidos ya que esto les permite mejorar.</w:t>
      </w:r>
    </w:p>
    <w:p w:rsidR="00000000" w:rsidDel="00000000" w:rsidP="00000000" w:rsidRDefault="00000000" w:rsidRPr="00000000" w14:paraId="0000008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su vez, señaló que la tecnología es una herramienta indispensable en nuestra época, pero sobre todo una herramienta amigable, mencionando que en su área, han tenido que transformar las sentencias en versión pública para subirlas a la red, pero se han encontrado con que los usuarios tienen diferentes requerimientos, como las sentencias de perspectiva de género, discapacidad, adultos mayores, entre otros, por lo que han tenido que buscar una manera de que los usuarios se den cuenta de lo que realmente tienen, advirtiendo que, aunque no tengan acceso a la tecnología, sí tienen acceso a la televisión. En consecuencia, están buscando una manera de hacer difusión a través de ese medio, </w:t>
      </w:r>
      <w:r w:rsidDel="00000000" w:rsidR="00000000" w:rsidRPr="00000000">
        <w:rPr>
          <w:rFonts w:ascii="Palatino Linotype" w:cs="Palatino Linotype" w:eastAsia="Palatino Linotype" w:hAnsi="Palatino Linotype"/>
          <w:sz w:val="22"/>
          <w:szCs w:val="22"/>
          <w:rtl w:val="0"/>
        </w:rPr>
        <w:t xml:space="preserve">resaltando</w:t>
      </w:r>
      <w:r w:rsidDel="00000000" w:rsidR="00000000" w:rsidRPr="00000000">
        <w:rPr>
          <w:rFonts w:ascii="Palatino Linotype" w:cs="Palatino Linotype" w:eastAsia="Palatino Linotype" w:hAnsi="Palatino Linotype"/>
          <w:sz w:val="22"/>
          <w:szCs w:val="22"/>
          <w:rtl w:val="0"/>
        </w:rPr>
        <w:t xml:space="preserve"> la importancia de la inclusión y de concientizar a la población sobre sus derechos y los recursos a los que tienen acceso.</w:t>
      </w:r>
    </w:p>
    <w:p w:rsidR="00000000" w:rsidDel="00000000" w:rsidP="00000000" w:rsidRDefault="00000000" w:rsidRPr="00000000" w14:paraId="0000008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felicitó al Comisionado Presidente, al Comisionado Parra y a su equipo por su trabajo y esfuerzo, reconociendo que a veces es difícil ver el resultado de su trabajo, teniendo la esperanza de poder hacer más y mejorar.</w:t>
      </w:r>
    </w:p>
    <w:p w:rsidR="00000000" w:rsidDel="00000000" w:rsidP="00000000" w:rsidRDefault="00000000" w:rsidRPr="00000000" w14:paraId="0000008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Dado que este punto fue de carácter informativo se procedió al desahogo del siguiente punto del orden del día.</w:t>
      </w:r>
    </w:p>
    <w:p w:rsidR="00000000" w:rsidDel="00000000" w:rsidP="00000000" w:rsidRDefault="00000000" w:rsidRPr="00000000" w14:paraId="0000008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9">
      <w:pPr>
        <w:spacing w:line="360" w:lineRule="auto"/>
        <w:jc w:val="both"/>
        <w:rPr>
          <w:rFonts w:ascii="Arial" w:cs="Arial" w:eastAsia="Arial" w:hAnsi="Arial"/>
          <w:sz w:val="22"/>
          <w:szCs w:val="22"/>
        </w:rPr>
      </w:pPr>
      <w:r w:rsidDel="00000000" w:rsidR="00000000" w:rsidRPr="00000000">
        <w:rPr>
          <w:rFonts w:ascii="Palatino Linotype" w:cs="Palatino Linotype" w:eastAsia="Palatino Linotype" w:hAnsi="Palatino Linotype"/>
          <w:b w:val="1"/>
          <w:sz w:val="22"/>
          <w:szCs w:val="22"/>
          <w:rtl w:val="0"/>
        </w:rPr>
        <w:t xml:space="preserve">VII.- </w:t>
      </w:r>
      <w:r w:rsidDel="00000000" w:rsidR="00000000" w:rsidRPr="00000000">
        <w:rPr>
          <w:rFonts w:ascii="Palatino Linotype" w:cs="Palatino Linotype" w:eastAsia="Palatino Linotype" w:hAnsi="Palatino Linotype"/>
          <w:sz w:val="22"/>
          <w:szCs w:val="22"/>
          <w:rtl w:val="0"/>
        </w:rPr>
        <w:t xml:space="preserve">En el desarrollo del Séptimo punto del orden del día, concerniente al Seguimiento de Acuerdos, se compartió que se encuentra en registro</w:t>
      </w:r>
      <w:r w:rsidDel="00000000" w:rsidR="00000000" w:rsidRPr="00000000">
        <w:rPr>
          <w:rFonts w:ascii="Arial" w:cs="Arial" w:eastAsia="Arial" w:hAnsi="Arial"/>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únicamente el avance del compromiso de la Secretaría de la Contraloría,  por lo que abrió un espacio por si alguno de los presentes deseaba intervenir al respecto. </w:t>
      </w:r>
      <w:r w:rsidDel="00000000" w:rsidR="00000000" w:rsidRPr="00000000">
        <w:rPr>
          <w:rtl w:val="0"/>
        </w:rPr>
      </w:r>
    </w:p>
    <w:p w:rsidR="00000000" w:rsidDel="00000000" w:rsidP="00000000" w:rsidRDefault="00000000" w:rsidRPr="00000000" w14:paraId="0000008A">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su intervención, Marco Antonio Becerril Garcés, enlace Representante del Secretario de la Contraloría, Javier Vargas Zempoatecatl, comentó sobre el compromiso que la Secretaría de la Contraloría desarrollará en materia de integridad, el cual está enfocado principalmente en los municipios, teniendo definida una fecha para la sensibilización, la cual sería el 10 de marzo, en la cual participarán tanto servidores públicos como representantes de sociedad civil para acercar el tema de gobierno abierto y permitir la definición de este compromiso. También han tenido acercamientos con la contraloría del Poder Legislativo, el CPC del Sistema Estatal Anticorrupción y contralores municipales de algunas regiones del estado que serían componentes esenciales en el desarrollo de este compromiso.</w:t>
      </w:r>
    </w:p>
    <w:p w:rsidR="00000000" w:rsidDel="00000000" w:rsidP="00000000" w:rsidRDefault="00000000" w:rsidRPr="00000000" w14:paraId="0000008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 su vez destacó que el enfoque que quieren darle a este compromiso es de fortaleza institucional, incorporando tanto al CPC del sistema como a la Secretaría Ejecutiva, y al INFOEM, para no solo desarrollar un compromiso proactivo en el seno del Sistema, sino también incorporarlo como parte de las acciones del programa de implementación de la Política Estatal Anticorrupción. </w:t>
      </w:r>
    </w:p>
    <w:p w:rsidR="00000000" w:rsidDel="00000000" w:rsidP="00000000" w:rsidRDefault="00000000" w:rsidRPr="00000000" w14:paraId="0000008E">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8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Sin más comentarios al respecto se prosiguió con el siguiente punto del orden del día.</w:t>
      </w:r>
    </w:p>
    <w:p w:rsidR="00000000" w:rsidDel="00000000" w:rsidP="00000000" w:rsidRDefault="00000000" w:rsidRPr="00000000" w14:paraId="0000009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VIII</w:t>
      </w:r>
      <w:r w:rsidDel="00000000" w:rsidR="00000000" w:rsidRPr="00000000">
        <w:rPr>
          <w:rFonts w:ascii="Palatino Linotype" w:cs="Palatino Linotype" w:eastAsia="Palatino Linotype" w:hAnsi="Palatino Linotype"/>
          <w:sz w:val="22"/>
          <w:szCs w:val="22"/>
          <w:rtl w:val="0"/>
        </w:rPr>
        <w:t xml:space="preserve">. En relación con el punto de Asuntos Generales, la Consejera Paula Melgarejo y el Representante Suplente de la Sociedad Civil solicitaron la palabra. </w:t>
      </w:r>
    </w:p>
    <w:p w:rsidR="00000000" w:rsidDel="00000000" w:rsidP="00000000" w:rsidRDefault="00000000" w:rsidRPr="00000000" w14:paraId="0000009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primera instancia, la Consejera Paula Melgarejo, hizo uso de la voz para referir a la implementación del Plan de Evaluación por parte del Instituto Electoral del Estado de México en relación a su compromiso proactivo durante las elecciones ordinarias y extraordinarias de 2021. También comentó que para el proceso electoral actual, lamentablemente no se pudo continuar con su herramienta DecideIEEM debido a un acuerdo emitido por el Instituto Nacional Electoral; en su lugar, se sumaron al sistema “Candidatas y Candidatos </w:t>
      </w:r>
      <w:r w:rsidDel="00000000" w:rsidR="00000000" w:rsidRPr="00000000">
        <w:rPr>
          <w:rFonts w:ascii="Palatino Linotype" w:cs="Palatino Linotype" w:eastAsia="Palatino Linotype" w:hAnsi="Palatino Linotype"/>
          <w:sz w:val="22"/>
          <w:szCs w:val="22"/>
          <w:rtl w:val="0"/>
        </w:rPr>
        <w:t xml:space="preserve">Conóceles</w:t>
      </w:r>
      <w:r w:rsidDel="00000000" w:rsidR="00000000" w:rsidRPr="00000000">
        <w:rPr>
          <w:rFonts w:ascii="Palatino Linotype" w:cs="Palatino Linotype" w:eastAsia="Palatino Linotype" w:hAnsi="Palatino Linotype"/>
          <w:sz w:val="22"/>
          <w:szCs w:val="22"/>
          <w:rtl w:val="0"/>
        </w:rPr>
        <w:t xml:space="preserve">” del Instituto Nacional Electoral, el cual permite conocer la trayectoria curricular y política de los candidatos, sus propuestas de campaña y sus medios de contacto con la ciudadanía.</w:t>
      </w:r>
    </w:p>
    <w:p w:rsidR="00000000" w:rsidDel="00000000" w:rsidP="00000000" w:rsidRDefault="00000000" w:rsidRPr="00000000" w14:paraId="0000009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Destacó que dicha plataforma también incluirá propuestas en materia de género y grupos en situación de vulnerabilidad, lo que la convierte en una herramienta novedosa y de mucha utilidad para la sociedad en general. También señaló que si bien no habrá acción afirmativa en este proceso electoral, en el siguiente sí se implementará, y se espera que el Secretariado Técnico Local  sea un aliado estratégico en la difusión de esta nueva herramienta.</w:t>
      </w:r>
    </w:p>
    <w:p w:rsidR="00000000" w:rsidDel="00000000" w:rsidP="00000000" w:rsidRDefault="00000000" w:rsidRPr="00000000" w14:paraId="0000009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último, invitó a los integrantes del Secretariado a apoyar la difusión de la plataforma en todo el Estado, para que la ciudadanía pueda ejercer su voto informado y conocer mejor a los candidatos.</w:t>
      </w:r>
    </w:p>
    <w:p w:rsidR="00000000" w:rsidDel="00000000" w:rsidP="00000000" w:rsidRDefault="00000000" w:rsidRPr="00000000" w14:paraId="0000009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último mencionó que en el proceso electoral anterior solo hubo algunos centros de votación en el Estado de México, donde se encuentran personas en prisión preventiva y actualmente se está trabajando en una lista de veinte lugares para verificar la población donde se instalará la seguridad y para asegurarse de que estas personas tengan la oportunidad de ejercer su derecho al voto, señalando que esto es un gran desafío, ya que también deben considerar el voto anticipado y el voto en el extranjero. A pesar de ello, el IEEM se encuentra comprometido con el proyecto y se está trabajando arduamente para garantizar que todo salga perfecto en el próximo proceso electoral.</w:t>
      </w:r>
    </w:p>
    <w:p w:rsidR="00000000" w:rsidDel="00000000" w:rsidP="00000000" w:rsidRDefault="00000000" w:rsidRPr="00000000" w14:paraId="0000009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respecto, el Representante Suplente del Órgano Garante, Luis Gustavo Parra Noriega destacó la importancia de profundizar en la herramienta del voto informado, la cual busca que los ciudadanos tengan acceso a información relevante sobre los candidatos para tomar decisiones informadas en las elecciones, haciendo hincapié en la necesidad de mejorar esta herramienta y de dar seguimiento a los compromisos que se plasman en ella, incluso pasando a una fase en la que se pueda evaluar qué se ha logrado con estos compromisos.</w:t>
      </w:r>
    </w:p>
    <w:p w:rsidR="00000000" w:rsidDel="00000000" w:rsidP="00000000" w:rsidRDefault="00000000" w:rsidRPr="00000000" w14:paraId="0000009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su parte, Enrique Serrano Arenas, Representante Suplente de la Sociedad Civil, comentó que desde la Sociedad Civil seguramente encontrarán un aliado interesado y activo en el tema de un voto informado y responsable. A su vez, sugirió que se debe contar con una plataforma donde la ciudadanía pueda enviar propuestas y aspiraciones a las candidatas y partidos políticos de manera directa, así como la posibilidad de tener un buzón ciudadano electrónico o físico en las juntas distritales del estado, señalando que esto se podría traducir en una apertura gubernamental alternativa y una sugerencia para mejorar la herramienta.</w:t>
      </w:r>
    </w:p>
    <w:p w:rsidR="00000000" w:rsidDel="00000000" w:rsidP="00000000" w:rsidRDefault="00000000" w:rsidRPr="00000000" w14:paraId="0000009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otra parte, mencionó que recibió una propuesta de Daniel Rosemberg Cervantes (CIMTRA) para comparar los resultados del análisis con las evaluaciones que tiene CIMTRA. De igual manera, mencionó que recibió otra propuesta por parte de Lucía Salcedo de la Red Andrómeda, en la que sugirió que los encuentros regionales puedan ser acompañados de una mesa de trabajo colaborativa con las Unidades de Transparencia y acceso a la información de los municipios con las organizaciones de la región para potenciar los encuentros y la apertura gubernamental.</w:t>
      </w:r>
    </w:p>
    <w:p w:rsidR="00000000" w:rsidDel="00000000" w:rsidP="00000000" w:rsidRDefault="00000000" w:rsidRPr="00000000" w14:paraId="000000A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1">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Finalmente destacó el esfuerzo del Representante Titular Carlos de la Peña de acompañar la mayoría de los foros realizados por el INFOEM, siendo relevante la asistencia de la sociedad civil en ellos.</w:t>
      </w:r>
    </w:p>
    <w:p w:rsidR="00000000" w:rsidDel="00000000" w:rsidP="00000000" w:rsidRDefault="00000000" w:rsidRPr="00000000" w14:paraId="000000A2">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3">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la misma manera el Representante Titular de Sociedad Civil, Carlos de la Peña habla señaló la importancia de los procesos electorales al ser tiempos complicados para los órganos electorales. Comentó respecto de la herramienta de difusión que han implementado se les hace llegar a los ciudadanos que esperan que la jornada electoral sea un gran éxito, siendo relevante para la toma de las mejores decisiones, destacando el seguimiento puntual del IEEM en mantener su compromiso, brindando a seguir colaborando para mejorar el proceso electoral así como  focalizar los esfuerzos en algunos municipios para lograr una mejor meta.</w:t>
      </w:r>
    </w:p>
    <w:p w:rsidR="00000000" w:rsidDel="00000000" w:rsidP="00000000" w:rsidRDefault="00000000" w:rsidRPr="00000000" w14:paraId="000000A4">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5">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Para finalizar su intervención, hizo un llamado a la Contraloría para reforzar su Compromiso en las actividades del Secretariado y se ofreció a colaborar en la capacitación y sensibilización para los municipios, sugiriendo hacer un ajuste en la meta de 125 municipios.</w:t>
      </w:r>
    </w:p>
    <w:p w:rsidR="00000000" w:rsidDel="00000000" w:rsidP="00000000" w:rsidRDefault="00000000" w:rsidRPr="00000000" w14:paraId="000000A6">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7">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Al respecto, Marco Antonio Becerril comentó sobre la focalización de esfuerzos en dos regiones que se encargan del tema de ética y transparencia dentro del Sistema Estatal Anticorrupción, mencionando la importancia de aprovechar el trabajo que ha desarrollado el Infoem con los municipios en materia de Gobierno Abierto, por lo que consideró que enfocar el esfuerzo en municipios que ya trabajan en estos temas, se tendrá mayores posibilidades de éxito. Además, propuso incorporar al Sistema Estatal Anticorrupción en este tema para darle continuidad y permanencia en caso de una transición de gobierno.</w:t>
      </w:r>
    </w:p>
    <w:p w:rsidR="00000000" w:rsidDel="00000000" w:rsidP="00000000" w:rsidRDefault="00000000" w:rsidRPr="00000000" w14:paraId="000000A8">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9">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la última intervención de este punto, la Directora General de Transparencia, Acceso a la Información Pública y Gobierno Abierto del Infoem, Adriana Yadira Cárdenas Tagle expresó su gratitud por la asistencia de los presentes y por el trabajo en equipo que se ha llevado a cabo para construir el Plan de Acción Local desde cero, destacando el acompañamiento de la Sociedad Civil y de la Red de Gobierno Abierto, quienes han sido grandes impulsores del Estudio de Apertura Gubernamental del Estado de México. Asimismo, informó que desde la Dirección ya se está estructurando una metodología para la Evaluación del Plan de Acción Local por lo que se espera compartir esta propuesta con el Grupo Operativo en las siguientes semanas, y con ello poder cerrar esta etapa a finales del mes de  julio. Finalmente, agradeció el gran esfuerzo realizado por los equipos del IEEM, del Poder Judicial y de los representantes  de la Sociedad Civil, reiterando que el Infoem siempre estará abierto para todos.</w:t>
      </w:r>
    </w:p>
    <w:p w:rsidR="00000000" w:rsidDel="00000000" w:rsidP="00000000" w:rsidRDefault="00000000" w:rsidRPr="00000000" w14:paraId="000000AA">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B">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Agotado el punto y concluyendo las intervenciones, se continuó con el siguiente punto del orden del día, siendo la Clausura de la Sesión. </w:t>
      </w:r>
    </w:p>
    <w:p w:rsidR="00000000" w:rsidDel="00000000" w:rsidP="00000000" w:rsidRDefault="00000000" w:rsidRPr="00000000" w14:paraId="000000AC">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D">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E">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F">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sz w:val="22"/>
          <w:szCs w:val="22"/>
          <w:rtl w:val="0"/>
        </w:rPr>
        <w:t xml:space="preserve">IX</w:t>
      </w:r>
      <w:r w:rsidDel="00000000" w:rsidR="00000000" w:rsidRPr="00000000">
        <w:rPr>
          <w:rFonts w:ascii="Palatino Linotype" w:cs="Palatino Linotype" w:eastAsia="Palatino Linotype" w:hAnsi="Palatino Linotype"/>
          <w:sz w:val="22"/>
          <w:szCs w:val="22"/>
          <w:rtl w:val="0"/>
        </w:rPr>
        <w:t xml:space="preserve">.- No habiendo más puntos que tratar, siendo las doce horas con treinta minutos del día 24 de febrero de 2023, se dio por terminada la Décimo Sexta Sesión Ordinaria del Secretario Técnico Local para el Ejercicio de Gobierno Abierto en el Estado de México. </w:t>
      </w:r>
    </w:p>
    <w:p w:rsidR="00000000" w:rsidDel="00000000" w:rsidP="00000000" w:rsidRDefault="00000000" w:rsidRPr="00000000" w14:paraId="000000B0">
      <w:pPr>
        <w:widowControl w:val="0"/>
        <w:spacing w:before="37" w:line="360" w:lineRule="auto"/>
        <w:ind w:right="-92"/>
        <w:jc w:val="both"/>
        <w:rPr>
          <w:rFonts w:ascii="Palatino Linotype" w:cs="Palatino Linotype" w:eastAsia="Palatino Linotype" w:hAnsi="Palatino Linotype"/>
          <w:sz w:val="22"/>
          <w:szCs w:val="22"/>
        </w:rPr>
      </w:pPr>
      <w:r w:rsidDel="00000000" w:rsidR="00000000" w:rsidRPr="00000000">
        <w:rPr>
          <w:rtl w:val="0"/>
        </w:rPr>
      </w:r>
    </w:p>
    <w:tbl>
      <w:tblPr>
        <w:tblStyle w:val="Table3"/>
        <w:tblW w:w="9727.0" w:type="dxa"/>
        <w:jc w:val="center"/>
        <w:tblLayout w:type="fixed"/>
        <w:tblLook w:val="0400"/>
      </w:tblPr>
      <w:tblGrid>
        <w:gridCol w:w="4854"/>
        <w:gridCol w:w="4873"/>
        <w:tblGridChange w:id="0">
          <w:tblGrid>
            <w:gridCol w:w="4854"/>
            <w:gridCol w:w="4873"/>
          </w:tblGrid>
        </w:tblGridChange>
      </w:tblGrid>
      <w:tr>
        <w:trPr>
          <w:cantSplit w:val="0"/>
          <w:trHeight w:val="2952" w:hRule="atLeast"/>
          <w:tblHeader w:val="0"/>
        </w:trPr>
        <w:tc>
          <w:tcPr/>
          <w:p w:rsidR="00000000" w:rsidDel="00000000" w:rsidP="00000000" w:rsidRDefault="00000000" w:rsidRPr="00000000" w14:paraId="000000B1">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2">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3">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4">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5">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JOSÉ MARTÍNEZ VILCHIS</w:t>
            </w:r>
          </w:p>
          <w:p w:rsidR="00000000" w:rsidDel="00000000" w:rsidP="00000000" w:rsidRDefault="00000000" w:rsidRPr="00000000" w14:paraId="000000B6">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 COMISIONADO PRESIDENTE DEL INFOEM Y REPRESENTANTE TITULAR DEL ÓRGANO GARANTE</w:t>
            </w:r>
          </w:p>
          <w:p w:rsidR="00000000" w:rsidDel="00000000" w:rsidP="00000000" w:rsidRDefault="00000000" w:rsidRPr="00000000" w14:paraId="000000B7">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8">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9">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A">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B">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BC">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FABIOLA CATALINA APARICIO PERALES, </w:t>
            </w:r>
          </w:p>
          <w:p w:rsidR="00000000" w:rsidDel="00000000" w:rsidP="00000000" w:rsidRDefault="00000000" w:rsidRPr="00000000" w14:paraId="000000BD">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CONSEJERA DE LA JUDICATURA, EN REPRESENTACIÓN DEL</w:t>
            </w:r>
          </w:p>
          <w:p w:rsidR="00000000" w:rsidDel="00000000" w:rsidP="00000000" w:rsidRDefault="00000000" w:rsidRPr="00000000" w14:paraId="000000BE">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TRIBUNAL SUPERIOR DE </w:t>
            </w:r>
          </w:p>
          <w:p w:rsidR="00000000" w:rsidDel="00000000" w:rsidP="00000000" w:rsidRDefault="00000000" w:rsidRPr="00000000" w14:paraId="000000BF">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JUSTICIA DEL ESTADO DE MÉXICO</w:t>
            </w:r>
          </w:p>
          <w:p w:rsidR="00000000" w:rsidDel="00000000" w:rsidP="00000000" w:rsidRDefault="00000000" w:rsidRPr="00000000" w14:paraId="000000C0">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1">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2">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3">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4">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MARCO ANTONIO BECERRIL GARCÉS</w:t>
            </w:r>
          </w:p>
          <w:p w:rsidR="00000000" w:rsidDel="00000000" w:rsidP="00000000" w:rsidRDefault="00000000" w:rsidRPr="00000000" w14:paraId="000000C5">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 JEFE DE LA UNIDAD DE PREVENCIÓN DE LA CORRUPCIÓN DE LA SECRETARÍA DE LA CONTRALORÍA DEL ESTADO DE MÉXICO</w:t>
            </w:r>
          </w:p>
          <w:p w:rsidR="00000000" w:rsidDel="00000000" w:rsidP="00000000" w:rsidRDefault="00000000" w:rsidRPr="00000000" w14:paraId="000000C6">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7">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8">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tc>
        <w:tc>
          <w:tcPr/>
          <w:p w:rsidR="00000000" w:rsidDel="00000000" w:rsidP="00000000" w:rsidRDefault="00000000" w:rsidRPr="00000000" w14:paraId="000000C9">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A">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B">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C">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D">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LUIS GUSTAVO PARRA NORIEGA COMISIONADO DEL INFOEM Y REPRESENTANTE SUPLENTE DEL ÓRGANO GARANTE</w:t>
            </w:r>
          </w:p>
          <w:p w:rsidR="00000000" w:rsidDel="00000000" w:rsidP="00000000" w:rsidRDefault="00000000" w:rsidRPr="00000000" w14:paraId="000000CE">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CF">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0">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1">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2">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3">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PAULA MELGAREJO SALGADO</w:t>
            </w:r>
          </w:p>
          <w:p w:rsidR="00000000" w:rsidDel="00000000" w:rsidP="00000000" w:rsidRDefault="00000000" w:rsidRPr="00000000" w14:paraId="000000D4">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 CONSEJERA Y PRESIDENTA DE LA COMISIÓN DE TRANSPARENCIA DEL IEEM</w:t>
            </w:r>
          </w:p>
          <w:p w:rsidR="00000000" w:rsidDel="00000000" w:rsidP="00000000" w:rsidRDefault="00000000" w:rsidRPr="00000000" w14:paraId="000000D5">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6">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7">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8">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9">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A">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B">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CARLOS DE LA PEÑA JIMÉNEZ O´FARRIL</w:t>
            </w:r>
          </w:p>
          <w:p w:rsidR="00000000" w:rsidDel="00000000" w:rsidP="00000000" w:rsidRDefault="00000000" w:rsidRPr="00000000" w14:paraId="000000DC">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REPRESENTANTE TITULAR DE LA SOCIEDAD CIVIL</w:t>
            </w:r>
          </w:p>
          <w:p w:rsidR="00000000" w:rsidDel="00000000" w:rsidP="00000000" w:rsidRDefault="00000000" w:rsidRPr="00000000" w14:paraId="000000DD">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E">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DF">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tc>
      </w:tr>
      <w:tr>
        <w:trPr>
          <w:cantSplit w:val="0"/>
          <w:trHeight w:val="2952" w:hRule="atLeast"/>
          <w:tblHeader w:val="0"/>
        </w:trPr>
        <w:tc>
          <w:tcPr/>
          <w:p w:rsidR="00000000" w:rsidDel="00000000" w:rsidP="00000000" w:rsidRDefault="00000000" w:rsidRPr="00000000" w14:paraId="000000E0">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1">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2">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3">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ENRIQUE SERRANO ARENAS</w:t>
            </w:r>
          </w:p>
          <w:p w:rsidR="00000000" w:rsidDel="00000000" w:rsidP="00000000" w:rsidRDefault="00000000" w:rsidRPr="00000000" w14:paraId="000000E4">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REPRESENTANTE SUPLENTE DE LA SOCIEDAD CIVIL</w:t>
            </w:r>
          </w:p>
          <w:p w:rsidR="00000000" w:rsidDel="00000000" w:rsidP="00000000" w:rsidRDefault="00000000" w:rsidRPr="00000000" w14:paraId="000000E5">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6">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7">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8">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9">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A">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B">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BERNARDO AGUILAR RODRÍGUEZ</w:t>
            </w:r>
          </w:p>
          <w:p w:rsidR="00000000" w:rsidDel="00000000" w:rsidP="00000000" w:rsidRDefault="00000000" w:rsidRPr="00000000" w14:paraId="000000EC">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SUBDIRECTOR DE GOBIERNO ABIERTO Y TRANSPARENCIA PROACTIVA</w:t>
            </w:r>
          </w:p>
          <w:p w:rsidR="00000000" w:rsidDel="00000000" w:rsidP="00000000" w:rsidRDefault="00000000" w:rsidRPr="00000000" w14:paraId="000000ED">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tc>
        <w:tc>
          <w:tcPr/>
          <w:p w:rsidR="00000000" w:rsidDel="00000000" w:rsidP="00000000" w:rsidRDefault="00000000" w:rsidRPr="00000000" w14:paraId="000000EE">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EF">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F0">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F1">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ADRIANA YADIRA CARDENAS TAGLE</w:t>
            </w:r>
          </w:p>
          <w:p w:rsidR="00000000" w:rsidDel="00000000" w:rsidP="00000000" w:rsidRDefault="00000000" w:rsidRPr="00000000" w14:paraId="000000F2">
            <w:pPr>
              <w:spacing w:line="360" w:lineRule="auto"/>
              <w:jc w:val="center"/>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DIRECTORA GENERAL DE TRANSPARENCIA, ACCESO A LA INFORMACIÓN PÚBLICA Y GOBIERNO ABIERTO.</w:t>
            </w:r>
          </w:p>
          <w:p w:rsidR="00000000" w:rsidDel="00000000" w:rsidP="00000000" w:rsidRDefault="00000000" w:rsidRPr="00000000" w14:paraId="000000F3">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F4">
            <w:pPr>
              <w:spacing w:line="360" w:lineRule="auto"/>
              <w:rPr>
                <w:rFonts w:ascii="Palatino Linotype" w:cs="Palatino Linotype" w:eastAsia="Palatino Linotype" w:hAnsi="Palatino Linotype"/>
                <w:b w:val="1"/>
                <w:sz w:val="20"/>
                <w:szCs w:val="20"/>
              </w:rPr>
            </w:pPr>
            <w:r w:rsidDel="00000000" w:rsidR="00000000" w:rsidRPr="00000000">
              <w:rPr>
                <w:rtl w:val="0"/>
              </w:rPr>
            </w:r>
          </w:p>
        </w:tc>
      </w:tr>
    </w:tbl>
    <w:p w:rsidR="00000000" w:rsidDel="00000000" w:rsidP="00000000" w:rsidRDefault="00000000" w:rsidRPr="00000000" w14:paraId="000000F5">
      <w:pPr>
        <w:spacing w:after="240" w:before="240" w:line="360" w:lineRule="auto"/>
        <w:jc w:val="center"/>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18"/>
          <w:szCs w:val="18"/>
          <w:rtl w:val="0"/>
        </w:rPr>
        <w:t xml:space="preserve">Esta página pertenece al Acta de la Décimo Sexta Sesión Ordinaria del Secretariado Técnico Local, celebrada el 24 de febrero de 2023.</w:t>
      </w:r>
      <w:r w:rsidDel="00000000" w:rsidR="00000000" w:rsidRPr="00000000">
        <w:rPr>
          <w:rtl w:val="0"/>
        </w:rPr>
      </w:r>
    </w:p>
    <w:sectPr>
      <w:headerReference r:id="rId7" w:type="default"/>
      <w:footerReference r:id="rId8" w:type="default"/>
      <w:pgSz w:h="15840" w:w="12240" w:orient="portrait"/>
      <w:pgMar w:bottom="1701" w:top="1728" w:left="1418" w:right="1701" w:header="426"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a6a6a6"/>
      </w:rPr>
    </w:pPr>
    <w:r w:rsidDel="00000000" w:rsidR="00000000" w:rsidRPr="00000000">
      <w:rPr>
        <w:rFonts w:ascii="Palatino Linotype" w:cs="Palatino Linotype" w:eastAsia="Palatino Linotype" w:hAnsi="Palatino Linotype"/>
        <w:color w:val="a6a6a6"/>
        <w:rtl w:val="0"/>
      </w:rPr>
      <w:t xml:space="preserve">Página </w:t>
    </w:r>
    <w:r w:rsidDel="00000000" w:rsidR="00000000" w:rsidRPr="00000000">
      <w:rPr>
        <w:rFonts w:ascii="Palatino Linotype" w:cs="Palatino Linotype" w:eastAsia="Palatino Linotype" w:hAnsi="Palatino Linotype"/>
        <w:color w:val="a6a6a6"/>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a6a6a6"/>
        <w:rtl w:val="0"/>
      </w:rPr>
      <w:t xml:space="preserve"> de </w:t>
    </w:r>
    <w:r w:rsidDel="00000000" w:rsidR="00000000" w:rsidRPr="00000000">
      <w:rPr>
        <w:rFonts w:ascii="Palatino Linotype" w:cs="Palatino Linotype" w:eastAsia="Palatino Linotype" w:hAnsi="Palatino Linotype"/>
        <w:color w:val="a6a6a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Palatino Linotype" w:cs="Palatino Linotype" w:eastAsia="Palatino Linotype" w:hAnsi="Palatino Linotype"/>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-47616</wp:posOffset>
          </wp:positionV>
          <wp:extent cx="2085658" cy="640409"/>
          <wp:effectExtent b="0" l="0" r="0" t="0"/>
          <wp:wrapNone/>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5658" cy="640409"/>
                  </a:xfrm>
                  <a:prstGeom prst="rect"/>
                  <a:ln/>
                </pic:spPr>
              </pic:pic>
            </a:graphicData>
          </a:graphic>
        </wp:anchor>
      </w:drawing>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252"/>
        <w:tab w:val="right" w:leader="none" w:pos="8504"/>
        <w:tab w:val="left" w:leader="none" w:pos="2326"/>
      </w:tabs>
      <w:jc w:val="right"/>
      <w:rPr>
        <w:rFonts w:ascii="Palatino Linotype" w:cs="Palatino Linotype" w:eastAsia="Palatino Linotype" w:hAnsi="Palatino Linotype"/>
        <w:b w:val="1"/>
        <w:color w:val="000000"/>
        <w:sz w:val="28"/>
        <w:szCs w:val="28"/>
      </w:rPr>
    </w:pPr>
    <w:r w:rsidDel="00000000" w:rsidR="00000000" w:rsidRPr="00000000">
      <w:rPr>
        <w:rFonts w:ascii="Palatino Linotype" w:cs="Palatino Linotype" w:eastAsia="Palatino Linotype" w:hAnsi="Palatino Linotype"/>
        <w:b w:val="1"/>
        <w:color w:val="000000"/>
        <w:sz w:val="18"/>
        <w:szCs w:val="18"/>
        <w:rtl w:val="0"/>
      </w:rPr>
      <w:t xml:space="preserve">                                                                                                   ACTA DE LA </w:t>
    </w:r>
    <w:r w:rsidDel="00000000" w:rsidR="00000000" w:rsidRPr="00000000">
      <w:rPr>
        <w:rFonts w:ascii="Palatino Linotype" w:cs="Palatino Linotype" w:eastAsia="Palatino Linotype" w:hAnsi="Palatino Linotype"/>
        <w:b w:val="1"/>
        <w:sz w:val="18"/>
        <w:szCs w:val="18"/>
        <w:rtl w:val="0"/>
      </w:rPr>
      <w:t xml:space="preserve">DÉCIMO SEXTA </w:t>
    </w:r>
    <w:r w:rsidDel="00000000" w:rsidR="00000000" w:rsidRPr="00000000">
      <w:rPr>
        <w:rFonts w:ascii="Palatino Linotype" w:cs="Palatino Linotype" w:eastAsia="Palatino Linotype" w:hAnsi="Palatino Linotype"/>
        <w:b w:val="1"/>
        <w:color w:val="000000"/>
        <w:sz w:val="18"/>
        <w:szCs w:val="18"/>
        <w:rtl w:val="0"/>
      </w:rPr>
      <w:t xml:space="preserve">SESIÓN ORDINARIA DEL SECRETARIADO TÉCNICO LOCAL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704.251968503937" w:hanging="360"/>
      </w:pPr>
      <w:rPr>
        <w:b w:val="1"/>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upperRoman"/>
      <w:lvlText w:val="%1."/>
      <w:lvlJc w:val="right"/>
      <w:pPr>
        <w:ind w:left="1440" w:hanging="1014.8031496062991"/>
      </w:pPr>
      <w:rPr>
        <w:rFonts w:ascii="Arial" w:cs="Arial" w:eastAsia="Arial" w:hAnsi="Arial"/>
        <w:b w:val="1"/>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150F3"/>
    <w:rPr>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466358"/>
    <w:pPr>
      <w:tabs>
        <w:tab w:val="center" w:pos="4252"/>
        <w:tab w:val="right" w:pos="8504"/>
      </w:tabs>
    </w:pPr>
    <w:rPr>
      <w:rFonts w:asciiTheme="minorHAnsi" w:cstheme="minorBidi" w:eastAsiaTheme="minorEastAsia" w:hAnsiTheme="minorHAnsi"/>
    </w:rPr>
  </w:style>
  <w:style w:type="character" w:styleId="EncabezadoCar" w:customStyle="1">
    <w:name w:val="Encabezado Car"/>
    <w:basedOn w:val="Fuentedeprrafopredeter"/>
    <w:link w:val="Encabezado"/>
    <w:uiPriority w:val="99"/>
    <w:rsid w:val="00466358"/>
    <w:rPr>
      <w:rFonts w:eastAsiaTheme="minorEastAsia"/>
      <w:sz w:val="24"/>
      <w:szCs w:val="24"/>
      <w:lang w:eastAsia="es-ES" w:val="es-ES_tradnl"/>
    </w:rPr>
  </w:style>
  <w:style w:type="paragraph" w:styleId="Piedepgina">
    <w:name w:val="footer"/>
    <w:basedOn w:val="Normal"/>
    <w:link w:val="PiedepginaCar"/>
    <w:uiPriority w:val="99"/>
    <w:unhideWhenUsed w:val="1"/>
    <w:rsid w:val="00466358"/>
    <w:pPr>
      <w:tabs>
        <w:tab w:val="center" w:pos="4252"/>
        <w:tab w:val="right" w:pos="8504"/>
      </w:tabs>
    </w:pPr>
    <w:rPr>
      <w:rFonts w:asciiTheme="minorHAnsi" w:cstheme="minorBidi" w:eastAsiaTheme="minorEastAsia" w:hAnsiTheme="minorHAnsi"/>
    </w:rPr>
  </w:style>
  <w:style w:type="character" w:styleId="PiedepginaCar" w:customStyle="1">
    <w:name w:val="Pie de página Car"/>
    <w:basedOn w:val="Fuentedeprrafopredeter"/>
    <w:link w:val="Piedepgina"/>
    <w:uiPriority w:val="99"/>
    <w:rsid w:val="00466358"/>
    <w:rPr>
      <w:rFonts w:eastAsiaTheme="minorEastAsia"/>
      <w:sz w:val="24"/>
      <w:szCs w:val="24"/>
      <w:lang w:eastAsia="es-ES" w:val="es-ES_tradnl"/>
    </w:rPr>
  </w:style>
  <w:style w:type="paragraph" w:styleId="Prrafodelista">
    <w:name w:val="List Paragraph"/>
    <w:basedOn w:val="Normal"/>
    <w:uiPriority w:val="1"/>
    <w:qFormat w:val="1"/>
    <w:rsid w:val="00466358"/>
    <w:pPr>
      <w:spacing w:after="200" w:line="276" w:lineRule="auto"/>
      <w:ind w:left="720"/>
      <w:contextualSpacing w:val="1"/>
    </w:pPr>
    <w:rPr>
      <w:rFonts w:asciiTheme="minorHAnsi" w:cstheme="minorBidi" w:eastAsiaTheme="minorHAnsi" w:hAnsiTheme="minorHAnsi"/>
      <w:sz w:val="22"/>
      <w:szCs w:val="22"/>
      <w:lang w:eastAsia="en-US" w:val="es-MX"/>
    </w:rPr>
  </w:style>
  <w:style w:type="table" w:styleId="Tablaconcuadrcula">
    <w:name w:val="Table Grid"/>
    <w:basedOn w:val="Tablanormal"/>
    <w:uiPriority w:val="59"/>
    <w:rsid w:val="0046635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
    <w:name w:val="Hyperlink"/>
    <w:basedOn w:val="Fuentedeprrafopredeter"/>
    <w:uiPriority w:val="99"/>
    <w:unhideWhenUsed w:val="1"/>
    <w:rsid w:val="00122F6E"/>
    <w:rPr>
      <w:color w:val="0563c1" w:themeColor="hyperlink"/>
      <w:u w:val="single"/>
    </w:rPr>
  </w:style>
  <w:style w:type="paragraph" w:styleId="Cuerpo" w:customStyle="1">
    <w:name w:val="Cuerpo"/>
    <w:rsid w:val="00E91586"/>
    <w:pPr>
      <w:pBdr>
        <w:top w:space="0" w:sz="0" w:val="nil"/>
        <w:left w:space="0" w:sz="0" w:val="nil"/>
        <w:bottom w:space="0" w:sz="0" w:val="nil"/>
        <w:right w:space="0" w:sz="0" w:val="nil"/>
        <w:between w:space="0" w:sz="0" w:val="nil"/>
        <w:bar w:space="0" w:sz="0" w:val="nil"/>
      </w:pBdr>
    </w:pPr>
    <w:rPr>
      <w:rFonts w:cs="Arial Unicode MS" w:eastAsia="Arial Unicode MS"/>
      <w:color w:val="000000"/>
      <w:u w:color="000000"/>
      <w:bdr w:space="0" w:sz="0" w:val="nil"/>
      <w:lang w:eastAsia="es-ES" w:val="pt-PT"/>
      <w14:textOutline w14:cap="flat" w14:cmpd="sng" w14:algn="ctr">
        <w14:noFill/>
        <w14:prstDash w14:val="solid"/>
        <w14:bevel/>
      </w14:textOutline>
    </w:rPr>
  </w:style>
  <w:style w:type="character" w:styleId="Ninguno" w:customStyle="1">
    <w:name w:val="Ninguno"/>
    <w:rsid w:val="00E91586"/>
    <w:rPr>
      <w:lang w:val="pt-PT"/>
    </w:rPr>
  </w:style>
  <w:style w:type="numbering" w:styleId="Estiloimportado1" w:customStyle="1">
    <w:name w:val="Estilo importado 1"/>
    <w:rsid w:val="00E91586"/>
  </w:style>
  <w:style w:type="character" w:styleId="Refdecomentario">
    <w:name w:val="annotation reference"/>
    <w:basedOn w:val="Fuentedeprrafopredeter"/>
    <w:uiPriority w:val="99"/>
    <w:semiHidden w:val="1"/>
    <w:unhideWhenUsed w:val="1"/>
    <w:rsid w:val="001E1AB2"/>
    <w:rPr>
      <w:sz w:val="16"/>
      <w:szCs w:val="16"/>
    </w:rPr>
  </w:style>
  <w:style w:type="paragraph" w:styleId="Textocomentario">
    <w:name w:val="annotation text"/>
    <w:basedOn w:val="Normal"/>
    <w:link w:val="TextocomentarioCar"/>
    <w:uiPriority w:val="99"/>
    <w:semiHidden w:val="1"/>
    <w:unhideWhenUsed w:val="1"/>
    <w:rsid w:val="001E1AB2"/>
    <w:rPr>
      <w:sz w:val="20"/>
      <w:szCs w:val="20"/>
    </w:rPr>
  </w:style>
  <w:style w:type="character" w:styleId="TextocomentarioCar" w:customStyle="1">
    <w:name w:val="Texto comentario Car"/>
    <w:basedOn w:val="Fuentedeprrafopredeter"/>
    <w:link w:val="Textocomentario"/>
    <w:uiPriority w:val="99"/>
    <w:semiHidden w:val="1"/>
    <w:rsid w:val="001E1AB2"/>
    <w:rPr>
      <w:rFonts w:ascii="Times New Roman" w:cs="Times New Roman" w:eastAsia="Times New Roman" w:hAnsi="Times New Roman"/>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1E1AB2"/>
    <w:rPr>
      <w:b w:val="1"/>
      <w:bCs w:val="1"/>
    </w:rPr>
  </w:style>
  <w:style w:type="character" w:styleId="AsuntodelcomentarioCar" w:customStyle="1">
    <w:name w:val="Asunto del comentario Car"/>
    <w:basedOn w:val="TextocomentarioCar"/>
    <w:link w:val="Asuntodelcomentario"/>
    <w:uiPriority w:val="99"/>
    <w:semiHidden w:val="1"/>
    <w:rsid w:val="001E1AB2"/>
    <w:rPr>
      <w:rFonts w:ascii="Times New Roman" w:cs="Times New Roman" w:eastAsia="Times New Roman" w:hAnsi="Times New Roman"/>
      <w:b w:val="1"/>
      <w:bCs w:val="1"/>
      <w:sz w:val="20"/>
      <w:szCs w:val="20"/>
      <w:lang w:eastAsia="es-ES" w:val="es-ES"/>
    </w:rPr>
  </w:style>
  <w:style w:type="paragraph" w:styleId="Textodeglobo">
    <w:name w:val="Balloon Text"/>
    <w:basedOn w:val="Normal"/>
    <w:link w:val="TextodegloboCar"/>
    <w:uiPriority w:val="99"/>
    <w:semiHidden w:val="1"/>
    <w:unhideWhenUsed w:val="1"/>
    <w:rsid w:val="001E1AB2"/>
    <w:rPr>
      <w:sz w:val="18"/>
      <w:szCs w:val="18"/>
    </w:rPr>
  </w:style>
  <w:style w:type="character" w:styleId="TextodegloboCar" w:customStyle="1">
    <w:name w:val="Texto de globo Car"/>
    <w:basedOn w:val="Fuentedeprrafopredeter"/>
    <w:link w:val="Textodeglobo"/>
    <w:uiPriority w:val="99"/>
    <w:semiHidden w:val="1"/>
    <w:rsid w:val="001E1AB2"/>
    <w:rPr>
      <w:rFonts w:ascii="Times New Roman" w:cs="Times New Roman" w:eastAsia="Times New Roman" w:hAnsi="Times New Roman"/>
      <w:sz w:val="18"/>
      <w:szCs w:val="18"/>
      <w:lang w:eastAsia="es-ES" w:val="es-ES"/>
    </w:rPr>
  </w:style>
  <w:style w:type="paragraph" w:styleId="Revisin">
    <w:name w:val="Revision"/>
    <w:hidden w:val="1"/>
    <w:uiPriority w:val="99"/>
    <w:semiHidden w:val="1"/>
    <w:rsid w:val="001E1AB2"/>
    <w:rPr>
      <w:lang w:eastAsia="es-ES" w:val="es-ES"/>
    </w:rPr>
  </w:style>
  <w:style w:type="character" w:styleId="Mencinsinresolver1" w:customStyle="1">
    <w:name w:val="Mención sin resolver1"/>
    <w:basedOn w:val="Fuentedeprrafopredeter"/>
    <w:uiPriority w:val="99"/>
    <w:semiHidden w:val="1"/>
    <w:unhideWhenUsed w:val="1"/>
    <w:rsid w:val="00EB67F7"/>
    <w:rPr>
      <w:color w:val="808080"/>
      <w:shd w:color="auto" w:fill="e6e6e6" w:val="clear"/>
    </w:rPr>
  </w:style>
  <w:style w:type="table" w:styleId="Tablaconcuadrcula4-nfasis3">
    <w:name w:val="Grid Table 4 Accent 3"/>
    <w:basedOn w:val="Tablanormal"/>
    <w:uiPriority w:val="49"/>
    <w:rsid w:val="0032040A"/>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8"/>
    <w:tblPr>
      <w:tblStyleRowBandSize w:val="1"/>
      <w:tblStyleColBandSize w:val="1"/>
      <w:tblCellMar>
        <w:left w:w="108.0" w:type="dxa"/>
        <w:right w:w="108.0" w:type="dxa"/>
      </w:tblCellMar>
    </w:tblPr>
  </w:style>
  <w:style w:type="table" w:styleId="a0" w:customStyle="1">
    <w:basedOn w:val="TableNormal8"/>
    <w:tblPr>
      <w:tblStyleRowBandSize w:val="1"/>
      <w:tblStyleColBandSize w:val="1"/>
      <w:tblCellMar>
        <w:left w:w="108.0" w:type="dxa"/>
        <w:right w:w="108.0" w:type="dxa"/>
      </w:tblCellMar>
    </w:tblPr>
  </w:style>
  <w:style w:type="table" w:styleId="a1" w:customStyle="1">
    <w:basedOn w:val="TableNormal8"/>
    <w:tblPr>
      <w:tblStyleRowBandSize w:val="1"/>
      <w:tblStyleColBandSize w:val="1"/>
      <w:tblCellMar>
        <w:left w:w="108.0" w:type="dxa"/>
        <w:right w:w="108.0" w:type="dxa"/>
      </w:tblCellMar>
    </w:tblPr>
    <w:tblStylePr w:type="firstRow">
      <w:rPr>
        <w:b w:val="1"/>
        <w:color w:val="ffffff"/>
      </w:rPr>
      <w:tblPr/>
      <w:tcPr>
        <w:tcBorders>
          <w:top w:color="a5a5a5" w:space="0" w:sz="4" w:val="single"/>
          <w:left w:color="a5a5a5" w:space="0" w:sz="4" w:val="single"/>
          <w:bottom w:color="a5a5a5" w:space="0" w:sz="4" w:val="single"/>
          <w:right w:color="a5a5a5" w:space="0" w:sz="4" w:val="single"/>
          <w:insideH w:space="0" w:sz="0" w:val="nil"/>
          <w:insideV w:space="0" w:sz="0" w:val="nil"/>
        </w:tcBorders>
        <w:shd w:color="auto" w:fill="a5a5a5" w:val="clear"/>
      </w:tcPr>
    </w:tblStylePr>
    <w:tblStylePr w:type="lastRow">
      <w:rPr>
        <w:b w:val="1"/>
      </w:rPr>
      <w:tblPr/>
      <w:tcPr>
        <w:tcBorders>
          <w:top w:color="a5a5a5" w:space="0" w:sz="4" w:val="single"/>
        </w:tcBorders>
      </w:tcPr>
    </w:tblStylePr>
    <w:tblStylePr w:type="firstCol">
      <w:rPr>
        <w:b w:val="1"/>
      </w:rPr>
    </w:tblStylePr>
    <w:tblStylePr w:type="lastCol">
      <w:rPr>
        <w:b w:val="1"/>
      </w:rPr>
    </w:tblStylePr>
    <w:tblStylePr w:type="band1Vert">
      <w:tblPr/>
      <w:tcPr>
        <w:shd w:color="auto" w:fill="ededed" w:val="clear"/>
      </w:tcPr>
    </w:tblStylePr>
    <w:tblStylePr w:type="band1Horz">
      <w:tblPr/>
      <w:tcPr>
        <w:shd w:color="auto" w:fill="ededed" w:val="clear"/>
      </w:tcPr>
    </w:tblStylePr>
  </w:style>
  <w:style w:type="table" w:styleId="a2" w:customStyle="1">
    <w:basedOn w:val="TableNormal8"/>
    <w:tblPr>
      <w:tblStyleRowBandSize w:val="1"/>
      <w:tblStyleColBandSize w:val="1"/>
      <w:tblCellMar>
        <w:left w:w="108.0" w:type="dxa"/>
        <w:right w:w="108.0" w:type="dxa"/>
      </w:tblCellMar>
    </w:tblPr>
  </w:style>
  <w:style w:type="table" w:styleId="a3" w:customStyle="1">
    <w:basedOn w:val="TableNormal8"/>
    <w:tblPr>
      <w:tblStyleRowBandSize w:val="1"/>
      <w:tblStyleColBandSize w:val="1"/>
      <w:tblCellMar>
        <w:left w:w="108.0" w:type="dxa"/>
        <w:right w:w="108.0" w:type="dxa"/>
      </w:tblCellMar>
    </w:tblPr>
  </w:style>
  <w:style w:type="table" w:styleId="a4" w:customStyle="1">
    <w:basedOn w:val="TableNormal8"/>
    <w:tblPr>
      <w:tblStyleRowBandSize w:val="1"/>
      <w:tblStyleColBandSize w:val="1"/>
      <w:tblCellMar>
        <w:left w:w="108.0" w:type="dxa"/>
        <w:right w:w="108.0" w:type="dxa"/>
      </w:tblCellMar>
    </w:tblPr>
  </w:style>
  <w:style w:type="table" w:styleId="a5" w:customStyle="1">
    <w:basedOn w:val="TableNormal8"/>
    <w:tblPr>
      <w:tblStyleRowBandSize w:val="1"/>
      <w:tblStyleColBandSize w:val="1"/>
      <w:tblCellMar>
        <w:left w:w="108.0" w:type="dxa"/>
        <w:right w:w="108.0" w:type="dxa"/>
      </w:tblCellMar>
    </w:tblPr>
  </w:style>
  <w:style w:type="table" w:styleId="a6" w:customStyle="1">
    <w:basedOn w:val="TableNormal8"/>
    <w:tblPr>
      <w:tblStyleRowBandSize w:val="1"/>
      <w:tblStyleColBandSize w:val="1"/>
      <w:tblCellMar>
        <w:left w:w="115.0" w:type="dxa"/>
        <w:right w:w="115.0" w:type="dxa"/>
      </w:tblCellMar>
    </w:tblPr>
  </w:style>
  <w:style w:type="table" w:styleId="a7" w:customStyle="1">
    <w:basedOn w:val="TableNormal8"/>
    <w:tblPr>
      <w:tblStyleRowBandSize w:val="1"/>
      <w:tblStyleColBandSize w:val="1"/>
      <w:tblCellMar>
        <w:left w:w="115.0" w:type="dxa"/>
        <w:right w:w="115.0" w:type="dxa"/>
      </w:tblCellMar>
    </w:tblPr>
  </w:style>
  <w:style w:type="table" w:styleId="a8" w:customStyle="1">
    <w:basedOn w:val="TableNormal8"/>
    <w:tblPr>
      <w:tblStyleRowBandSize w:val="1"/>
      <w:tblStyleColBandSize w:val="1"/>
      <w:tblCellMar>
        <w:left w:w="115.0" w:type="dxa"/>
        <w:right w:w="115.0" w:type="dxa"/>
      </w:tblCellMar>
    </w:tblPr>
  </w:style>
  <w:style w:type="table" w:styleId="a9" w:customStyle="1">
    <w:basedOn w:val="TableNormal8"/>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8E5666"/>
    <w:pPr>
      <w:spacing w:after="100" w:afterAutospacing="1" w:before="100" w:beforeAutospacing="1"/>
    </w:pPr>
    <w:rPr>
      <w:lang w:eastAsia="es-MX" w:val="es-MX"/>
    </w:rPr>
  </w:style>
  <w:style w:type="table" w:styleId="aa" w:customStyle="1">
    <w:basedOn w:val="TableNormal7"/>
    <w:tblPr>
      <w:tblStyleRowBandSize w:val="1"/>
      <w:tblStyleColBandSize w:val="1"/>
      <w:tblCellMar>
        <w:left w:w="115.0" w:type="dxa"/>
        <w:right w:w="115.0" w:type="dxa"/>
      </w:tblCellMar>
    </w:tblPr>
  </w:style>
  <w:style w:type="table" w:styleId="ab" w:customStyle="1">
    <w:basedOn w:val="TableNormal7"/>
    <w:tblPr>
      <w:tblStyleRowBandSize w:val="1"/>
      <w:tblStyleColBandSize w:val="1"/>
      <w:tblCellMar>
        <w:left w:w="115.0" w:type="dxa"/>
        <w:right w:w="115.0" w:type="dxa"/>
      </w:tblCellMar>
    </w:tblPr>
  </w:style>
  <w:style w:type="table" w:styleId="ac" w:customStyle="1">
    <w:basedOn w:val="TableNormal7"/>
    <w:tblPr>
      <w:tblStyleRowBandSize w:val="1"/>
      <w:tblStyleColBandSize w:val="1"/>
      <w:tblCellMar>
        <w:left w:w="115.0" w:type="dxa"/>
        <w:right w:w="115.0" w:type="dxa"/>
      </w:tblCellMar>
    </w:tblPr>
  </w:style>
  <w:style w:type="table" w:styleId="ad" w:customStyle="1">
    <w:basedOn w:val="TableNormal7"/>
    <w:tblPr>
      <w:tblStyleRowBandSize w:val="1"/>
      <w:tblStyleColBandSize w:val="1"/>
      <w:tblCellMar>
        <w:left w:w="115.0" w:type="dxa"/>
        <w:right w:w="115.0" w:type="dxa"/>
      </w:tblCellMar>
    </w:tblPr>
  </w:style>
  <w:style w:type="paragraph" w:styleId="Textoindependiente">
    <w:name w:val="Body Text"/>
    <w:basedOn w:val="Normal"/>
    <w:link w:val="TextoindependienteCar"/>
    <w:uiPriority w:val="1"/>
    <w:qFormat w:val="1"/>
    <w:rsid w:val="00B825AC"/>
    <w:pPr>
      <w:widowControl w:val="0"/>
      <w:autoSpaceDE w:val="0"/>
      <w:autoSpaceDN w:val="0"/>
    </w:pPr>
    <w:rPr>
      <w:rFonts w:ascii="Palatino Linotype" w:cs="Palatino Linotype" w:eastAsia="Palatino Linotype" w:hAnsi="Palatino Linotype"/>
      <w:sz w:val="20"/>
      <w:szCs w:val="20"/>
      <w:lang w:eastAsia="en-US" w:val="es-ES"/>
    </w:rPr>
  </w:style>
  <w:style w:type="character" w:styleId="TextoindependienteCar" w:customStyle="1">
    <w:name w:val="Texto independiente Car"/>
    <w:basedOn w:val="Fuentedeprrafopredeter"/>
    <w:link w:val="Textoindependiente"/>
    <w:uiPriority w:val="1"/>
    <w:rsid w:val="00B825AC"/>
    <w:rPr>
      <w:rFonts w:ascii="Palatino Linotype" w:cs="Palatino Linotype" w:eastAsia="Palatino Linotype" w:hAnsi="Palatino Linotype"/>
      <w:sz w:val="20"/>
      <w:szCs w:val="20"/>
      <w:lang w:eastAsia="en-US" w:val="es-ES"/>
    </w:rPr>
  </w:style>
  <w:style w:type="table" w:styleId="ae" w:customStyle="1">
    <w:basedOn w:val="TableNormal6"/>
    <w:tblPr>
      <w:tblStyleRowBandSize w:val="1"/>
      <w:tblStyleColBandSize w:val="1"/>
      <w:tblCellMar>
        <w:left w:w="115.0" w:type="dxa"/>
        <w:right w:w="115.0" w:type="dxa"/>
      </w:tblCellMar>
    </w:tblPr>
  </w:style>
  <w:style w:type="table" w:styleId="af" w:customStyle="1">
    <w:basedOn w:val="TableNormal6"/>
    <w:tblPr>
      <w:tblStyleRowBandSize w:val="1"/>
      <w:tblStyleColBandSize w:val="1"/>
      <w:tblCellMar>
        <w:left w:w="115.0" w:type="dxa"/>
        <w:right w:w="115.0" w:type="dxa"/>
      </w:tblCellMar>
    </w:tblPr>
  </w:style>
  <w:style w:type="table" w:styleId="af0" w:customStyle="1">
    <w:basedOn w:val="TableNormal6"/>
    <w:tblPr>
      <w:tblStyleRowBandSize w:val="1"/>
      <w:tblStyleColBandSize w:val="1"/>
      <w:tblCellMar>
        <w:left w:w="115.0" w:type="dxa"/>
        <w:right w:w="115.0" w:type="dxa"/>
      </w:tblCellMar>
    </w:tblPr>
  </w:style>
  <w:style w:type="table" w:styleId="af1" w:customStyle="1">
    <w:basedOn w:val="TableNormal6"/>
    <w:tblPr>
      <w:tblStyleRowBandSize w:val="1"/>
      <w:tblStyleColBandSize w:val="1"/>
      <w:tblCellMar>
        <w:left w:w="115.0" w:type="dxa"/>
        <w:right w:w="115.0" w:type="dxa"/>
      </w:tblCellMar>
    </w:tblPr>
  </w:style>
  <w:style w:type="table" w:styleId="af2" w:customStyle="1">
    <w:basedOn w:val="TableNormal6"/>
    <w:tblPr>
      <w:tblStyleRowBandSize w:val="1"/>
      <w:tblStyleColBandSize w:val="1"/>
      <w:tblCellMar>
        <w:left w:w="115.0" w:type="dxa"/>
        <w:right w:w="115.0" w:type="dxa"/>
      </w:tblCellMar>
    </w:tblPr>
  </w:style>
  <w:style w:type="table" w:styleId="af3" w:customStyle="1">
    <w:basedOn w:val="TableNormal6"/>
    <w:tblPr>
      <w:tblStyleRowBandSize w:val="1"/>
      <w:tblStyleColBandSize w:val="1"/>
      <w:tblCellMar>
        <w:left w:w="115.0" w:type="dxa"/>
        <w:right w:w="115.0" w:type="dxa"/>
      </w:tblCellMar>
    </w:tblPr>
  </w:style>
  <w:style w:type="table" w:styleId="af4" w:customStyle="1">
    <w:basedOn w:val="TableNormal6"/>
    <w:tblPr>
      <w:tblStyleRowBandSize w:val="1"/>
      <w:tblStyleColBandSize w:val="1"/>
      <w:tblCellMar>
        <w:left w:w="115.0" w:type="dxa"/>
        <w:right w:w="115.0" w:type="dxa"/>
      </w:tblCellMar>
    </w:tblPr>
  </w:style>
  <w:style w:type="table" w:styleId="af5" w:customStyle="1">
    <w:basedOn w:val="TableNormal6"/>
    <w:tblPr>
      <w:tblStyleRowBandSize w:val="1"/>
      <w:tblStyleColBandSize w:val="1"/>
      <w:tblCellMar>
        <w:left w:w="115.0" w:type="dxa"/>
        <w:right w:w="115.0" w:type="dxa"/>
      </w:tblCellMar>
    </w:tblPr>
  </w:style>
  <w:style w:type="table" w:styleId="af6" w:customStyle="1">
    <w:basedOn w:val="TableNormal6"/>
    <w:tblPr>
      <w:tblStyleRowBandSize w:val="1"/>
      <w:tblStyleColBandSize w:val="1"/>
      <w:tblCellMar>
        <w:left w:w="115.0" w:type="dxa"/>
        <w:right w:w="115.0" w:type="dxa"/>
      </w:tblCellMar>
    </w:tblPr>
  </w:style>
  <w:style w:type="table" w:styleId="af7" w:customStyle="1">
    <w:basedOn w:val="TableNormal6"/>
    <w:tblPr>
      <w:tblStyleRowBandSize w:val="1"/>
      <w:tblStyleColBandSize w:val="1"/>
      <w:tblCellMar>
        <w:left w:w="115.0" w:type="dxa"/>
        <w:right w:w="115.0" w:type="dxa"/>
      </w:tblCellMar>
    </w:tblPr>
  </w:style>
  <w:style w:type="table" w:styleId="af8" w:customStyle="1">
    <w:basedOn w:val="TableNormal6"/>
    <w:tblPr>
      <w:tblStyleRowBandSize w:val="1"/>
      <w:tblStyleColBandSize w:val="1"/>
      <w:tblCellMar>
        <w:left w:w="115.0" w:type="dxa"/>
        <w:right w:w="115.0" w:type="dxa"/>
      </w:tblCellMar>
    </w:tblPr>
  </w:style>
  <w:style w:type="table" w:styleId="af9" w:customStyle="1">
    <w:basedOn w:val="TableNormal6"/>
    <w:tblPr>
      <w:tblStyleRowBandSize w:val="1"/>
      <w:tblStyleColBandSize w:val="1"/>
      <w:tblCellMar>
        <w:left w:w="115.0" w:type="dxa"/>
        <w:right w:w="115.0" w:type="dxa"/>
      </w:tblCellMar>
    </w:tblPr>
  </w:style>
  <w:style w:type="table" w:styleId="afa" w:customStyle="1">
    <w:basedOn w:val="TableNormal6"/>
    <w:tblPr>
      <w:tblStyleRowBandSize w:val="1"/>
      <w:tblStyleColBandSize w:val="1"/>
      <w:tblCellMar>
        <w:left w:w="115.0" w:type="dxa"/>
        <w:right w:w="115.0" w:type="dxa"/>
      </w:tblCellMar>
    </w:tblPr>
  </w:style>
  <w:style w:type="table" w:styleId="afb" w:customStyle="1">
    <w:basedOn w:val="TableNormal3"/>
    <w:tblPr>
      <w:tblStyleRowBandSize w:val="1"/>
      <w:tblStyleColBandSize w:val="1"/>
      <w:tblCellMar>
        <w:left w:w="115.0" w:type="dxa"/>
        <w:right w:w="115.0" w:type="dxa"/>
      </w:tblCellMar>
    </w:tblPr>
  </w:style>
  <w:style w:type="table" w:styleId="afc" w:customStyle="1">
    <w:basedOn w:val="TableNormal3"/>
    <w:tblPr>
      <w:tblStyleRowBandSize w:val="1"/>
      <w:tblStyleColBandSize w:val="1"/>
      <w:tblCellMar>
        <w:left w:w="115.0" w:type="dxa"/>
        <w:right w:w="115.0" w:type="dxa"/>
      </w:tblCellMar>
    </w:tblPr>
  </w:style>
  <w:style w:type="table" w:styleId="afd" w:customStyle="1">
    <w:basedOn w:val="TableNormal3"/>
    <w:tblPr>
      <w:tblStyleRowBandSize w:val="1"/>
      <w:tblStyleColBandSize w:val="1"/>
      <w:tblCellMar>
        <w:left w:w="115.0" w:type="dxa"/>
        <w:right w:w="115.0" w:type="dxa"/>
      </w:tblCellMar>
    </w:tblPr>
  </w:style>
  <w:style w:type="table" w:styleId="afe" w:customStyle="1">
    <w:basedOn w:val="TableNormal3"/>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table" w:styleId="aff0" w:customStyle="1">
    <w:basedOn w:val="TableNormal2"/>
    <w:tblPr>
      <w:tblStyleRowBandSize w:val="1"/>
      <w:tblStyleColBandSize w:val="1"/>
      <w:tblCellMar>
        <w:left w:w="115.0" w:type="dxa"/>
        <w:right w:w="115.0" w:type="dxa"/>
      </w:tblCellMar>
    </w:tblPr>
  </w:style>
  <w:style w:type="table" w:styleId="aff1" w:customStyle="1">
    <w:basedOn w:val="TableNormal2"/>
    <w:tblPr>
      <w:tblStyleRowBandSize w:val="1"/>
      <w:tblStyleColBandSize w:val="1"/>
      <w:tblCellMar>
        <w:left w:w="115.0" w:type="dxa"/>
        <w:right w:w="115.0" w:type="dxa"/>
      </w:tblCellMar>
    </w:tblPr>
  </w:style>
  <w:style w:type="table" w:styleId="aff2" w:customStyle="1">
    <w:basedOn w:val="TableNormal2"/>
    <w:tblPr>
      <w:tblStyleRowBandSize w:val="1"/>
      <w:tblStyleColBandSize w:val="1"/>
      <w:tblCellMar>
        <w:left w:w="115.0" w:type="dxa"/>
        <w:right w:w="115.0" w:type="dxa"/>
      </w:tblCellMar>
    </w:tblPr>
  </w:style>
  <w:style w:type="table" w:styleId="aff3" w:customStyle="1">
    <w:basedOn w:val="TableNormal1"/>
    <w:tblPr>
      <w:tblStyleRowBandSize w:val="1"/>
      <w:tblStyleColBandSize w:val="1"/>
      <w:tblCellMar>
        <w:left w:w="115.0" w:type="dxa"/>
        <w:right w:w="115.0" w:type="dxa"/>
      </w:tblCellMar>
    </w:tblPr>
  </w:style>
  <w:style w:type="table" w:styleId="aff4" w:customStyle="1">
    <w:basedOn w:val="TableNormal1"/>
    <w:tblPr>
      <w:tblStyleRowBandSize w:val="1"/>
      <w:tblStyleColBandSize w:val="1"/>
      <w:tblCellMar>
        <w:left w:w="115.0" w:type="dxa"/>
        <w:right w:w="115.0" w:type="dxa"/>
      </w:tblCellMar>
    </w:tblPr>
  </w:style>
  <w:style w:type="table" w:styleId="aff5" w:customStyle="1">
    <w:basedOn w:val="TableNormal1"/>
    <w:tblPr>
      <w:tblStyleRowBandSize w:val="1"/>
      <w:tblStyleColBandSize w:val="1"/>
      <w:tblCellMar>
        <w:left w:w="115.0" w:type="dxa"/>
        <w:right w:w="115.0" w:type="dxa"/>
      </w:tblCellMar>
    </w:tblPr>
  </w:style>
  <w:style w:type="table" w:styleId="aff6" w:customStyle="1">
    <w:basedOn w:val="TableNormal1"/>
    <w:tblPr>
      <w:tblStyleRowBandSize w:val="1"/>
      <w:tblStyleColBandSize w:val="1"/>
      <w:tblCellMar>
        <w:left w:w="115.0" w:type="dxa"/>
        <w:right w:w="115.0" w:type="dxa"/>
      </w:tblCellMar>
    </w:tblPr>
  </w:style>
  <w:style w:type="table" w:styleId="aff7" w:customStyle="1">
    <w:basedOn w:val="TableNormal0"/>
    <w:tblPr>
      <w:tblStyleRowBandSize w:val="1"/>
      <w:tblStyleColBandSize w:val="1"/>
      <w:tblCellMar>
        <w:left w:w="115.0" w:type="dxa"/>
        <w:right w:w="115.0" w:type="dxa"/>
      </w:tblCellMar>
    </w:tblPr>
  </w:style>
  <w:style w:type="table" w:styleId="aff8" w:customStyle="1">
    <w:basedOn w:val="TableNormal0"/>
    <w:tblPr>
      <w:tblStyleRowBandSize w:val="1"/>
      <w:tblStyleColBandSize w:val="1"/>
      <w:tblCellMar>
        <w:left w:w="115.0" w:type="dxa"/>
        <w:right w:w="115.0" w:type="dxa"/>
      </w:tblCellMar>
    </w:tblPr>
  </w:style>
  <w:style w:type="table" w:styleId="aff9"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7rdGLrU9GeVCccRjbl2LmT/vGA==">AMUW2mUNRLpfuqGXlqENmWioBYx3cEpwLfli8VtQ7Rh/p5wz9rffES8DVsRiEr66gfw/SeJlIGamBvGQ/gu+N+Z7jpmbRCGFi4Kt+15A8T8klTlhz8MzmVg=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2021-11-11T01:54:00Z</dcterms:created>
  <dc:creator>USUARIO INFOEM</dc:creator>
</cp:coreProperties>
</file>