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6CAEF" w14:textId="77777777" w:rsidR="00A1419A" w:rsidRDefault="00000000">
      <w:pPr>
        <w:spacing w:line="360" w:lineRule="auto"/>
        <w:ind w:right="51"/>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En el Estado de México, siendo las once horas con cuatro minutos del día 16 de diciembre de dos mil veintidós, se encuentran reunidos los integrantes del Secretariado Técnico Local del Estado de México, para celebrar su Décimo Quinta Sesión Ordinaria, a través de la Plataforma virtual de Zoom, a la cual fueron convocados por el Facilitador Horacio Rodríguez Jiménez, mediante el oficio número STL/016/2022, de fecha nueve de diciembre de dos mil veintidós, estando presentes: Carlos de la Peña Jiménez O´Farril, Representante Titular de la Sociedad Civil; Enrique Serrano Arenas, Representante Suplente de la Sociedad Civil; José Martínez Vilchis, Comisionado Presidente del Instituto de Transparencia, Acceso a la Información Pública y Protección de Datos Personales del Estado de México y Municipios (Infoem) y Representante Titular de Órgano Garante, Luis Gustavo Parra Noriega, Comisionado del Infoem y Representante Suplente del Órgano Garante; Marco Antonio Becerril Garcés, Jefe de la Unidad de Prevención de la Corrupción de la Secretaría de la Contraloría del Estado de México en representación del Secretario y Titular de los Entes públicos; Lilibeth Álvarez Rodríguez, Titular de la Unidad de Transparencia del Instituto Electoral del Estado de México, en Representación del Suplente de los Entes Públicos,  José Edgar Marín Pérez, Titular de la Unidad de Transparencia, en Representación del Poder Judicial del Estado de México; Horacio Rodríguez Jiménez Facilitador Titular del Secretariado Técnico Local, con la finalidad de desahogar la sesión bajo el siguiente orden del día:  </w:t>
      </w:r>
    </w:p>
    <w:p w14:paraId="3F64035F" w14:textId="77777777" w:rsidR="00A1419A" w:rsidRDefault="00A1419A">
      <w:pPr>
        <w:spacing w:line="360" w:lineRule="auto"/>
        <w:jc w:val="center"/>
        <w:rPr>
          <w:rFonts w:ascii="Palatino Linotype" w:eastAsia="Palatino Linotype" w:hAnsi="Palatino Linotype" w:cs="Palatino Linotype"/>
          <w:b/>
          <w:sz w:val="22"/>
          <w:szCs w:val="22"/>
        </w:rPr>
      </w:pPr>
    </w:p>
    <w:p w14:paraId="7AE23776" w14:textId="77777777" w:rsidR="00A1419A" w:rsidRDefault="00000000">
      <w:pPr>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Orden del día</w:t>
      </w:r>
    </w:p>
    <w:p w14:paraId="5376B5E8" w14:textId="77777777" w:rsidR="00A1419A" w:rsidRDefault="00A1419A">
      <w:pPr>
        <w:spacing w:after="160" w:line="259" w:lineRule="auto"/>
        <w:jc w:val="both"/>
        <w:rPr>
          <w:rFonts w:ascii="Palatino Linotype" w:eastAsia="Palatino Linotype" w:hAnsi="Palatino Linotype" w:cs="Palatino Linotype"/>
          <w:sz w:val="21"/>
          <w:szCs w:val="21"/>
        </w:rPr>
      </w:pPr>
    </w:p>
    <w:p w14:paraId="0C2D71DB" w14:textId="77777777" w:rsidR="00A1419A" w:rsidRDefault="00000000">
      <w:pPr>
        <w:numPr>
          <w:ilvl w:val="0"/>
          <w:numId w:val="1"/>
        </w:numPr>
        <w:spacing w:line="480" w:lineRule="auto"/>
        <w:ind w:left="861" w:hanging="435"/>
        <w:jc w:val="both"/>
        <w:rPr>
          <w:rFonts w:ascii="Palatino Linotype" w:eastAsia="Palatino Linotype" w:hAnsi="Palatino Linotype" w:cs="Palatino Linotype"/>
        </w:rPr>
      </w:pPr>
      <w:r>
        <w:rPr>
          <w:rFonts w:ascii="Palatino Linotype" w:eastAsia="Palatino Linotype" w:hAnsi="Palatino Linotype" w:cs="Palatino Linotype"/>
          <w:sz w:val="22"/>
          <w:szCs w:val="22"/>
        </w:rPr>
        <w:t>Lista de asistencia y declaratoria de quórum;</w:t>
      </w:r>
    </w:p>
    <w:p w14:paraId="4675999A" w14:textId="77777777" w:rsidR="00A1419A" w:rsidRDefault="00000000">
      <w:pPr>
        <w:numPr>
          <w:ilvl w:val="0"/>
          <w:numId w:val="1"/>
        </w:numPr>
        <w:spacing w:line="480" w:lineRule="auto"/>
        <w:ind w:left="861" w:hanging="43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Lectura y en su caso, aprobación del orden del día;</w:t>
      </w:r>
    </w:p>
    <w:p w14:paraId="289287E2" w14:textId="77777777" w:rsidR="00A1419A" w:rsidRDefault="00000000">
      <w:pPr>
        <w:numPr>
          <w:ilvl w:val="0"/>
          <w:numId w:val="1"/>
        </w:numPr>
        <w:spacing w:line="360" w:lineRule="auto"/>
        <w:ind w:left="850" w:hanging="42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Presentación y, en su caso, aprobación del acta de la Décimo Cuarta Sesión Ordinaria, por parte de los integrantes del Secretariado Técnico Local;</w:t>
      </w:r>
    </w:p>
    <w:p w14:paraId="1873A1E6" w14:textId="77777777" w:rsidR="00A1419A" w:rsidRDefault="00000000">
      <w:pPr>
        <w:numPr>
          <w:ilvl w:val="0"/>
          <w:numId w:val="1"/>
        </w:numPr>
        <w:spacing w:line="360" w:lineRule="auto"/>
        <w:ind w:left="850" w:hanging="42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Mensaje de José Martínez Vilchis, Comisionado Presidente del Instituto de Transparencia, Acceso a la Información Pública y Protección de Datos Personales del Estado de México y Municipios.</w:t>
      </w:r>
    </w:p>
    <w:p w14:paraId="2716C242" w14:textId="77777777" w:rsidR="00A1419A" w:rsidRDefault="00000000">
      <w:pPr>
        <w:numPr>
          <w:ilvl w:val="0"/>
          <w:numId w:val="1"/>
        </w:numPr>
        <w:spacing w:line="360" w:lineRule="auto"/>
        <w:ind w:left="850" w:hanging="42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Presentación de avances del Plan de Acción Local en el Marco de la OGP por parte de Iván Barrera Pineda, Subsecretario de Justicia de la Secretaría de Justicia y Derechos Humanos del Estado de México;</w:t>
      </w:r>
    </w:p>
    <w:p w14:paraId="2F271F51" w14:textId="77777777" w:rsidR="00A1419A" w:rsidRDefault="00000000">
      <w:pPr>
        <w:numPr>
          <w:ilvl w:val="0"/>
          <w:numId w:val="1"/>
        </w:numPr>
        <w:spacing w:line="360" w:lineRule="auto"/>
        <w:ind w:left="850" w:hanging="42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Presentación de avances del Compromiso Proactivo del Poder Judicial, por parte de Ricardo Alfredo Sodi Cuellar Magistrado Presidente del Tribunal Superior de Justicia del Estado de México;</w:t>
      </w:r>
    </w:p>
    <w:p w14:paraId="0AE928E4" w14:textId="77777777" w:rsidR="00A1419A" w:rsidRDefault="00000000">
      <w:pPr>
        <w:numPr>
          <w:ilvl w:val="0"/>
          <w:numId w:val="1"/>
        </w:numPr>
        <w:spacing w:line="360" w:lineRule="auto"/>
        <w:ind w:left="850" w:hanging="42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Presentación de avances del Compromiso Proactivo del Instituto de Transparencia, Acceso a la Información Pública y Protección de Datos Personales del Estado de México y Municipios, por parte de Luis Gustavo Parra Noriega, Comisionado del Infoem;</w:t>
      </w:r>
    </w:p>
    <w:p w14:paraId="2DD26ABA" w14:textId="77777777" w:rsidR="00A1419A" w:rsidRDefault="00000000">
      <w:pPr>
        <w:numPr>
          <w:ilvl w:val="0"/>
          <w:numId w:val="1"/>
        </w:numPr>
        <w:spacing w:line="360" w:lineRule="auto"/>
        <w:ind w:left="850" w:hanging="42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Presentación, discusión y, en su caso, aprobación del calendario de sesiones del Secretariado Técnico Local 2023, por parte del Facilitador del Secretariado Técnico Local;</w:t>
      </w:r>
    </w:p>
    <w:p w14:paraId="7C552860" w14:textId="77777777" w:rsidR="00A1419A" w:rsidRDefault="00000000">
      <w:pPr>
        <w:numPr>
          <w:ilvl w:val="0"/>
          <w:numId w:val="1"/>
        </w:numPr>
        <w:spacing w:line="360" w:lineRule="auto"/>
        <w:ind w:left="850" w:hanging="42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Seguimiento de Acuerdos;</w:t>
      </w:r>
    </w:p>
    <w:p w14:paraId="69FADDAA" w14:textId="77777777" w:rsidR="00A1419A" w:rsidRDefault="00000000">
      <w:pPr>
        <w:numPr>
          <w:ilvl w:val="0"/>
          <w:numId w:val="1"/>
        </w:numPr>
        <w:spacing w:line="360" w:lineRule="auto"/>
        <w:ind w:left="850" w:hanging="42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Asuntos Generales; y </w:t>
      </w:r>
    </w:p>
    <w:p w14:paraId="5816A716" w14:textId="77777777" w:rsidR="00A1419A" w:rsidRDefault="00000000">
      <w:pPr>
        <w:numPr>
          <w:ilvl w:val="0"/>
          <w:numId w:val="1"/>
        </w:numPr>
        <w:spacing w:line="360" w:lineRule="auto"/>
        <w:ind w:left="850" w:hanging="42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highlight w:val="white"/>
        </w:rPr>
        <w:t>Clausura de la Sesión.</w:t>
      </w:r>
    </w:p>
    <w:p w14:paraId="7814D925" w14:textId="77777777" w:rsidR="00A1419A" w:rsidRDefault="00A1419A">
      <w:pPr>
        <w:spacing w:line="360" w:lineRule="auto"/>
        <w:ind w:left="720"/>
        <w:jc w:val="both"/>
        <w:rPr>
          <w:rFonts w:ascii="Palatino Linotype" w:eastAsia="Palatino Linotype" w:hAnsi="Palatino Linotype" w:cs="Palatino Linotype"/>
          <w:sz w:val="22"/>
          <w:szCs w:val="22"/>
        </w:rPr>
      </w:pPr>
    </w:p>
    <w:p w14:paraId="52DB5EB2" w14:textId="496A7C0B" w:rsidR="00A1419A" w:rsidRDefault="00000000">
      <w:pPr>
        <w:spacing w:line="360" w:lineRule="auto"/>
        <w:ind w:right="51"/>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I.-</w:t>
      </w:r>
      <w:r>
        <w:rPr>
          <w:rFonts w:ascii="Palatino Linotype" w:eastAsia="Palatino Linotype" w:hAnsi="Palatino Linotype" w:cs="Palatino Linotype"/>
          <w:sz w:val="22"/>
          <w:szCs w:val="22"/>
        </w:rPr>
        <w:t xml:space="preserve"> El Facilitador del Secretariado Técnico Local, Horacio Rodríguez Jiménez, en uso de la voz procedió al pase de lista para la verificación de quórum legal, confirmando la mayoría de </w:t>
      </w:r>
      <w:r w:rsidR="000C762D">
        <w:rPr>
          <w:rFonts w:ascii="Palatino Linotype" w:eastAsia="Palatino Linotype" w:hAnsi="Palatino Linotype" w:cs="Palatino Linotype"/>
          <w:sz w:val="22"/>
          <w:szCs w:val="22"/>
        </w:rPr>
        <w:t>los integrantes</w:t>
      </w:r>
      <w:r>
        <w:rPr>
          <w:rFonts w:ascii="Palatino Linotype" w:eastAsia="Palatino Linotype" w:hAnsi="Palatino Linotype" w:cs="Palatino Linotype"/>
          <w:sz w:val="22"/>
          <w:szCs w:val="22"/>
        </w:rPr>
        <w:t xml:space="preserve"> del Secretariado Técnico para su desarrollo.</w:t>
      </w:r>
    </w:p>
    <w:p w14:paraId="44CCAF0D" w14:textId="77777777" w:rsidR="00A1419A" w:rsidRDefault="00A1419A">
      <w:pPr>
        <w:spacing w:line="360" w:lineRule="auto"/>
        <w:ind w:right="51"/>
        <w:jc w:val="both"/>
        <w:rPr>
          <w:rFonts w:ascii="Palatino Linotype" w:eastAsia="Palatino Linotype" w:hAnsi="Palatino Linotype" w:cs="Palatino Linotype"/>
          <w:sz w:val="22"/>
          <w:szCs w:val="22"/>
        </w:rPr>
      </w:pPr>
    </w:p>
    <w:p w14:paraId="7B645E22" w14:textId="77777777" w:rsidR="00A1419A" w:rsidRDefault="00000000">
      <w:pPr>
        <w:spacing w:line="360" w:lineRule="auto"/>
        <w:ind w:right="51"/>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II.- </w:t>
      </w:r>
      <w:r>
        <w:rPr>
          <w:rFonts w:ascii="Palatino Linotype" w:eastAsia="Palatino Linotype" w:hAnsi="Palatino Linotype" w:cs="Palatino Linotype"/>
          <w:sz w:val="22"/>
          <w:szCs w:val="22"/>
        </w:rPr>
        <w:t xml:space="preserve">Para el desahogo del segundo punto del orden del día, se sometió a consideración de los asistentes la lectura y, en su caso, aprobación del orden del día. En uso de la palabra, el Facilitador, preguntó a los presentes si existía algún comentario o modificación al mismo salvo el punto a considerar dentro de Asuntos Generales solicitado por el Representante Titular de </w:t>
      </w:r>
      <w:r>
        <w:rPr>
          <w:rFonts w:ascii="Palatino Linotype" w:eastAsia="Palatino Linotype" w:hAnsi="Palatino Linotype" w:cs="Palatino Linotype"/>
          <w:sz w:val="22"/>
          <w:szCs w:val="22"/>
        </w:rPr>
        <w:lastRenderedPageBreak/>
        <w:t>Sociedad Civil, sin que hubiera algún otro por parte de los presentes, por lo que el Facilitador procedió a recabar la votación correspondiente emitiendo el siguiente acuerdo:</w:t>
      </w:r>
    </w:p>
    <w:p w14:paraId="547C4B71" w14:textId="77777777" w:rsidR="00A1419A" w:rsidRDefault="00A1419A">
      <w:pPr>
        <w:spacing w:line="360" w:lineRule="auto"/>
        <w:ind w:right="49"/>
        <w:jc w:val="both"/>
        <w:rPr>
          <w:rFonts w:ascii="Palatino Linotype" w:eastAsia="Palatino Linotype" w:hAnsi="Palatino Linotype" w:cs="Palatino Linotype"/>
          <w:sz w:val="22"/>
          <w:szCs w:val="22"/>
        </w:rPr>
      </w:pPr>
    </w:p>
    <w:tbl>
      <w:tblPr>
        <w:tblStyle w:val="affa"/>
        <w:tblW w:w="9111" w:type="dxa"/>
        <w:tblInd w:w="-115"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4555"/>
        <w:gridCol w:w="4556"/>
      </w:tblGrid>
      <w:tr w:rsidR="00A1419A" w14:paraId="6A0FB123" w14:textId="77777777">
        <w:tc>
          <w:tcPr>
            <w:tcW w:w="4555" w:type="dxa"/>
            <w:vAlign w:val="center"/>
          </w:tcPr>
          <w:p w14:paraId="3F670917" w14:textId="77777777" w:rsidR="00A1419A" w:rsidRDefault="00000000">
            <w:pPr>
              <w:spacing w:line="360" w:lineRule="auto"/>
              <w:ind w:right="49"/>
              <w:jc w:val="center"/>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STL/XV/1/2022</w:t>
            </w:r>
          </w:p>
        </w:tc>
        <w:tc>
          <w:tcPr>
            <w:tcW w:w="4556" w:type="dxa"/>
          </w:tcPr>
          <w:p w14:paraId="6ED4856E" w14:textId="77777777" w:rsidR="00A1419A" w:rsidRDefault="00000000">
            <w:pPr>
              <w:pBdr>
                <w:top w:val="nil"/>
                <w:left w:val="nil"/>
                <w:bottom w:val="nil"/>
                <w:right w:val="nil"/>
                <w:between w:val="nil"/>
              </w:pBdr>
              <w:spacing w:line="360" w:lineRule="auto"/>
              <w:ind w:left="357" w:right="5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sz w:val="22"/>
                <w:szCs w:val="22"/>
              </w:rPr>
              <w:t>S</w:t>
            </w:r>
            <w:r>
              <w:rPr>
                <w:rFonts w:ascii="Palatino Linotype" w:eastAsia="Palatino Linotype" w:hAnsi="Palatino Linotype" w:cs="Palatino Linotype"/>
                <w:color w:val="000000"/>
                <w:sz w:val="22"/>
                <w:szCs w:val="22"/>
              </w:rPr>
              <w:t xml:space="preserve">e aprueba por unanimidad de votos </w:t>
            </w:r>
            <w:r>
              <w:rPr>
                <w:rFonts w:ascii="Palatino Linotype" w:eastAsia="Palatino Linotype" w:hAnsi="Palatino Linotype" w:cs="Palatino Linotype"/>
                <w:sz w:val="22"/>
                <w:szCs w:val="22"/>
              </w:rPr>
              <w:t xml:space="preserve">el </w:t>
            </w:r>
            <w:r>
              <w:rPr>
                <w:rFonts w:ascii="Palatino Linotype" w:eastAsia="Palatino Linotype" w:hAnsi="Palatino Linotype" w:cs="Palatino Linotype"/>
                <w:color w:val="000000"/>
                <w:sz w:val="22"/>
                <w:szCs w:val="22"/>
              </w:rPr>
              <w:t>orden del día, en sus términos.</w:t>
            </w:r>
          </w:p>
        </w:tc>
      </w:tr>
    </w:tbl>
    <w:p w14:paraId="770B865F" w14:textId="77777777" w:rsidR="00A1419A" w:rsidRDefault="00A1419A">
      <w:pPr>
        <w:spacing w:line="360" w:lineRule="auto"/>
        <w:ind w:right="51"/>
        <w:jc w:val="both"/>
        <w:rPr>
          <w:rFonts w:ascii="Palatino Linotype" w:eastAsia="Palatino Linotype" w:hAnsi="Palatino Linotype" w:cs="Palatino Linotype"/>
          <w:b/>
          <w:sz w:val="22"/>
          <w:szCs w:val="22"/>
        </w:rPr>
      </w:pPr>
    </w:p>
    <w:p w14:paraId="102ED19E" w14:textId="77777777"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III.-</w:t>
      </w:r>
      <w:r>
        <w:rPr>
          <w:rFonts w:ascii="Palatino Linotype" w:eastAsia="Palatino Linotype" w:hAnsi="Palatino Linotype" w:cs="Palatino Linotype"/>
          <w:sz w:val="22"/>
          <w:szCs w:val="22"/>
        </w:rPr>
        <w:t xml:space="preserve"> En el desahogo del tercer punto del orden del día, referente a la aprobación del Acta de la Décimo Cuarta Sesión ordinaria del STL de fecha 8 de noviembre de 2022, el Facilitador señaló que el documento en mención de igual forma fue remitido en días pasados por medios electrónicos a cada integrante del Secretariado para hacerlo de su conocimiento. En ese tenor, solicitó a los presentes sus comentarios al respecto o bien su aprobación en los términos propuestos, por lo que se procedió a la votación correspondiente para emitir el siguiente acuerdo:</w:t>
      </w:r>
    </w:p>
    <w:p w14:paraId="6F2C4B79"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tbl>
      <w:tblPr>
        <w:tblStyle w:val="affb"/>
        <w:tblW w:w="9111" w:type="dxa"/>
        <w:tblInd w:w="-115"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4555"/>
        <w:gridCol w:w="4556"/>
      </w:tblGrid>
      <w:tr w:rsidR="00A1419A" w14:paraId="64FD7A3A" w14:textId="77777777">
        <w:tc>
          <w:tcPr>
            <w:tcW w:w="4555" w:type="dxa"/>
            <w:vAlign w:val="center"/>
          </w:tcPr>
          <w:p w14:paraId="11586030" w14:textId="77777777" w:rsidR="00A1419A" w:rsidRDefault="00000000">
            <w:pPr>
              <w:spacing w:line="360" w:lineRule="auto"/>
              <w:ind w:right="49"/>
              <w:jc w:val="center"/>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STL/XV/2/2022</w:t>
            </w:r>
          </w:p>
        </w:tc>
        <w:tc>
          <w:tcPr>
            <w:tcW w:w="4556" w:type="dxa"/>
          </w:tcPr>
          <w:p w14:paraId="066ED567" w14:textId="77777777" w:rsidR="00A1419A" w:rsidRDefault="00000000">
            <w:pPr>
              <w:spacing w:line="360" w:lineRule="auto"/>
              <w:ind w:left="357" w:right="51"/>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Se aprueba por unanimidad de votos el Acta de la Décimo Cuarta Sesión Ordinaria del STL, de fecha 8 de noviembre de 2022.</w:t>
            </w:r>
          </w:p>
        </w:tc>
      </w:tr>
    </w:tbl>
    <w:p w14:paraId="6B46EA8B"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1AA0D0C8" w14:textId="77777777"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IV. </w:t>
      </w:r>
      <w:r>
        <w:rPr>
          <w:rFonts w:ascii="Palatino Linotype" w:eastAsia="Palatino Linotype" w:hAnsi="Palatino Linotype" w:cs="Palatino Linotype"/>
          <w:sz w:val="22"/>
          <w:szCs w:val="22"/>
        </w:rPr>
        <w:t>En el desarrollo de este punto el facilitador otorgó la palabra a José Martínez Vilchis, Comisionado Presidente del Instituto de Transparencia, Acceso a la Información Pública y Protección de Datos Personales del Estado de México y Municipios y Representante del Órgano Garante en ejercicio.</w:t>
      </w:r>
    </w:p>
    <w:p w14:paraId="26764CEB"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2371990E" w14:textId="77777777"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uso de la voz, el Comisionado Presidente del Infoem, José Martínez Vilchis, dio la bienvenida y agradeció su presencia a todos los participantes para el desarrollo de esta sesión del Secretariado Técnico Local.</w:t>
      </w:r>
    </w:p>
    <w:p w14:paraId="58098514" w14:textId="5A223D0E"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Primeramente felicitó a todos los presentes por el trabajo realizado durante el año y los resultados que se han tenido, de igual manera lo realizado por el Instituto de </w:t>
      </w:r>
      <w:r w:rsidR="000C762D">
        <w:rPr>
          <w:rFonts w:ascii="Palatino Linotype" w:eastAsia="Palatino Linotype" w:hAnsi="Palatino Linotype" w:cs="Palatino Linotype"/>
          <w:sz w:val="22"/>
          <w:szCs w:val="22"/>
        </w:rPr>
        <w:t>Transparencia, por</w:t>
      </w:r>
      <w:r>
        <w:rPr>
          <w:rFonts w:ascii="Palatino Linotype" w:eastAsia="Palatino Linotype" w:hAnsi="Palatino Linotype" w:cs="Palatino Linotype"/>
          <w:sz w:val="22"/>
          <w:szCs w:val="22"/>
        </w:rPr>
        <w:t xml:space="preserve"> lo que reconoció la labor de todos que han impulsado estos trabajos, en especial al Comisionado Gustavo Parra por promover estos temas.</w:t>
      </w:r>
    </w:p>
    <w:p w14:paraId="366A3D27" w14:textId="77777777" w:rsidR="000C762D" w:rsidRDefault="000C762D">
      <w:pPr>
        <w:widowControl w:val="0"/>
        <w:spacing w:before="37" w:line="360" w:lineRule="auto"/>
        <w:ind w:right="-92"/>
        <w:jc w:val="both"/>
        <w:rPr>
          <w:rFonts w:ascii="Palatino Linotype" w:eastAsia="Palatino Linotype" w:hAnsi="Palatino Linotype" w:cs="Palatino Linotype"/>
          <w:sz w:val="22"/>
          <w:szCs w:val="22"/>
        </w:rPr>
      </w:pPr>
    </w:p>
    <w:p w14:paraId="004325B0" w14:textId="77777777"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otra parte, comentó sobre la Sexta Sesión Ordinaria del Comité Coordinador del Sistema Anticorrupción del Estado de México y Municipios, en la que se presentó y se aprobó el Modelo de Gestión de Riesgos de Corrupción para el Sector Público del Estado de México para su implementación en los entes públicos estatales y municipales, el cual es un método para prevenir la corrupción, propuesta que escucharon a los integrantes de este Sistema anticorrupción entre los que participan el Poder Ejecutivo, Legislativo, Judicial y Órganos Autónomos y acordaron que el próximo año se iniciará con mucha intensidad este modelo, porque implica que cada uno de Sujetos Obligados estén estructurados con códigos de conducta, comités de ética y sus propios planes de integridad institucional, por ello destacó el esfuerzo por parte el Poder Judicial en estos trabajos.</w:t>
      </w:r>
    </w:p>
    <w:p w14:paraId="2B09871D"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27912387" w14:textId="77777777"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Para finalizar, exhortó y alentó a los presentes a continuar con el dinamismo en este ejercicio, en el que todos sus actores están convencidos en empujar los temas del buen gobierno y gobierno abierto. </w:t>
      </w:r>
    </w:p>
    <w:p w14:paraId="060CB88E"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3110D024" w14:textId="77777777"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Al concluir, el Facilitador agradeció la intervención y continuó con el siguiente punto de la sesión.</w:t>
      </w:r>
    </w:p>
    <w:p w14:paraId="6D0DC387"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4412F2B3" w14:textId="77777777"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V.</w:t>
      </w:r>
      <w:r>
        <w:rPr>
          <w:rFonts w:ascii="Palatino Linotype" w:eastAsia="Palatino Linotype" w:hAnsi="Palatino Linotype" w:cs="Palatino Linotype"/>
          <w:sz w:val="22"/>
          <w:szCs w:val="22"/>
        </w:rPr>
        <w:t>- Para el desahogo del quinto punto del orden del día, el Facilitador cedió la palabra a Iván Barrera Pineda, Subsecretario de Justicia de la Secretaría de Justicia y Derechos Humanos del Estado de México, para exponer la Presentación de avances del Plan de Acción Local en el Marco de la OGP.</w:t>
      </w:r>
    </w:p>
    <w:p w14:paraId="25F5A328"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5B80FF1C"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7EC7BD3E" w14:textId="37219D03"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Al respecto, el Subsecretario </w:t>
      </w:r>
      <w:r w:rsidR="000C762D">
        <w:rPr>
          <w:rFonts w:ascii="Palatino Linotype" w:eastAsia="Palatino Linotype" w:hAnsi="Palatino Linotype" w:cs="Palatino Linotype"/>
          <w:sz w:val="22"/>
          <w:szCs w:val="22"/>
        </w:rPr>
        <w:t>dio</w:t>
      </w:r>
      <w:r>
        <w:rPr>
          <w:rFonts w:ascii="Palatino Linotype" w:eastAsia="Palatino Linotype" w:hAnsi="Palatino Linotype" w:cs="Palatino Linotype"/>
          <w:sz w:val="22"/>
          <w:szCs w:val="22"/>
        </w:rPr>
        <w:t xml:space="preserve"> cuenta de algunos de los avances que se han tenido en el marco de la Alianza para </w:t>
      </w:r>
      <w:r w:rsidR="000C762D">
        <w:rPr>
          <w:rFonts w:ascii="Palatino Linotype" w:eastAsia="Palatino Linotype" w:hAnsi="Palatino Linotype" w:cs="Palatino Linotype"/>
          <w:sz w:val="22"/>
          <w:szCs w:val="22"/>
        </w:rPr>
        <w:t>el Gobierno</w:t>
      </w:r>
      <w:r>
        <w:rPr>
          <w:rFonts w:ascii="Palatino Linotype" w:eastAsia="Palatino Linotype" w:hAnsi="Palatino Linotype" w:cs="Palatino Linotype"/>
          <w:sz w:val="22"/>
          <w:szCs w:val="22"/>
        </w:rPr>
        <w:t xml:space="preserve"> Abierto, así como en el Plan de Acción Local de Gobierno Abierto en el Estado de México, que se está desarrollando.</w:t>
      </w:r>
    </w:p>
    <w:p w14:paraId="4FB3FF30"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4751C475" w14:textId="22FF7B23"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Primeramente, realizó una breve reseña sobre los antecedentes del trabajo que se ha venido </w:t>
      </w:r>
      <w:r w:rsidR="000C762D">
        <w:rPr>
          <w:rFonts w:ascii="Palatino Linotype" w:eastAsia="Palatino Linotype" w:hAnsi="Palatino Linotype" w:cs="Palatino Linotype"/>
          <w:sz w:val="22"/>
          <w:szCs w:val="22"/>
        </w:rPr>
        <w:t>emprendiendo, recordó</w:t>
      </w:r>
      <w:r>
        <w:rPr>
          <w:rFonts w:ascii="Palatino Linotype" w:eastAsia="Palatino Linotype" w:hAnsi="Palatino Linotype" w:cs="Palatino Linotype"/>
          <w:sz w:val="22"/>
          <w:szCs w:val="22"/>
        </w:rPr>
        <w:t xml:space="preserve"> que desde el pasado 29 de septiembre de 2020 el Estado de México presentó una Carta Intención para formar parte de la Alianza por el Gobierno Abierto, misma que fue firmada por el Gobernador Alfredo del Mazo Maza. Posteriormente, el 20 de octubre de ese mismo año se dieron a conocer las 56 jurisdicciones locales que se unieron a la Alianza antes mencionada, a través de una participación colaborativa del Estado de México y el municipio de Tlalnepantla de Baz. </w:t>
      </w:r>
    </w:p>
    <w:p w14:paraId="26EA8530"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0E043D42" w14:textId="77777777"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Comentó que se llevó a cabo una amplia consulta ciudadana del mes de julio al mes de octubre, con el objetivo de conocer propuestas ciudadanas principalmente basadas en cuatro ejes temáticos: Acceso a la Justicia y Justicia Itinerante, Justicia Cotidiana, Derecho a la Información y Rendición de Cuentas y la Innovación Tecnológica para la Transparencia Pública, obteniéndose como resultado la generación de seis compromisos cocreados. De igual manera, se efectuaron tres mesas de diálogo dentro del ejercicio del Secretariado Técnico Local, emanando tres compromisos proactivos, encabezados por el Instituto Electoral del Estado de México, el Instituto de Transparencia Acceso a la Información Pública y Protección de Datos Personales del Estado de México y Municipios y el Poder Judicial, integrándose todos estos compromisos dentro del Plan de Acción Local del Estado de México el cual fue lanzado en diciembre de ese año.  </w:t>
      </w:r>
    </w:p>
    <w:p w14:paraId="53AED701"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757B2CE2" w14:textId="77777777"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Acerca de los Compromisos Cocreados estos consistieron en: 1. Fortalecimiento y ampliación </w:t>
      </w:r>
      <w:r>
        <w:rPr>
          <w:rFonts w:ascii="Palatino Linotype" w:eastAsia="Palatino Linotype" w:hAnsi="Palatino Linotype" w:cs="Palatino Linotype"/>
          <w:sz w:val="22"/>
          <w:szCs w:val="22"/>
        </w:rPr>
        <w:lastRenderedPageBreak/>
        <w:t>del programa de justicia itinerante y acceso a la justicia denominado “Caravanas por la Justicia Cotidiana”, 2. Interoperabilidad institucional a través del carnet jurídico, 3. Fortalecimiento de los Mecanismos Alternativos de Solución de Controversias como un medio de acceso a la justicia cotidiana, 4. Legislación estatal en materia de Justicia cotidiana, 5. Fortalecimiento de los medios de acceso a la transparencia pública, datos abiertos y de interés público, y 6. Generar alianzas con los municipios del Estado de México para la difusión del uso y beneficio del acceso a la información. Con respecto a los tres compromisos proactivos que se generaron fueron: 1. Estrategia de fortalecimiento a la Cultura de Gobierno Abierto, 2. Estrategia de fortalecimiento de la Democracia, y 3. Generar mecanismos de participación ciudadana que favorezcan el acceso a la justicia de grupos vulnerables a través de la promoción de una cultura de paz, diálogo y entendimiento.</w:t>
      </w:r>
    </w:p>
    <w:p w14:paraId="1175CD0B"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6F47EB0C" w14:textId="7D272A34"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cuanto hace al Compromiso de Fortalecimiento y ampliación del programa de justicia itinerante y acceso a la justicia denominado “Caravanas por la Justicia Cotidiana”, destacó que se buscó fortalecer con este programa con el objetivo de ampliar su cobertura en los municipios, así como aumentar su periodicidad, difusión, la participación de más instituciones a este proyecto e incrementar el número de trámites y servicios. Destacó que, el pasado 26 de enero de 2022 se puso en marcha una segunda caravana con el apoyo institucional de diversas dependencias que han participado, siendo estas más de 26 dependencias que se han sumado ofreciendo más de 90 trámites y servicios jurídicos que se brindan prácticamente en todo el Estado. De los 101 municipios visitados, 43 ya fueron recorridos por esta segunda caravana y se han brindado más de 113,000 trámites y servicios jurídicos obteniendo un alcance de población atendida de más de 30,000 personas, previendo que para septiembre de 2023 estas caravanas ya </w:t>
      </w:r>
      <w:r w:rsidR="000C762D">
        <w:rPr>
          <w:rFonts w:ascii="Palatino Linotype" w:eastAsia="Palatino Linotype" w:hAnsi="Palatino Linotype" w:cs="Palatino Linotype"/>
          <w:sz w:val="22"/>
          <w:szCs w:val="22"/>
        </w:rPr>
        <w:t>se hayan</w:t>
      </w:r>
      <w:r>
        <w:rPr>
          <w:rFonts w:ascii="Palatino Linotype" w:eastAsia="Palatino Linotype" w:hAnsi="Palatino Linotype" w:cs="Palatino Linotype"/>
          <w:sz w:val="22"/>
          <w:szCs w:val="22"/>
        </w:rPr>
        <w:t xml:space="preserve"> visitado los 125 municipios del Estado de México.</w:t>
      </w:r>
    </w:p>
    <w:p w14:paraId="35111336"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6B1ACF2A" w14:textId="0B1AA820"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cuanto hace al Compromiso denominado “Interoperabilidad institucional a través del carnet jurídico”, compartió que fue creado con el objetivo de contar con un expediente </w:t>
      </w:r>
      <w:r>
        <w:rPr>
          <w:rFonts w:ascii="Palatino Linotype" w:eastAsia="Palatino Linotype" w:hAnsi="Palatino Linotype" w:cs="Palatino Linotype"/>
          <w:sz w:val="22"/>
          <w:szCs w:val="22"/>
        </w:rPr>
        <w:lastRenderedPageBreak/>
        <w:t xml:space="preserve">electrónico para las y los mexiquenses, como una especie de repositorio de documentos que deriven de trámites y servicios realizados, que de igual modo sirvan para gestionar otros nuevos. El planteamiento de esta herramienta es que permita a los ciudadanos realizar sus trámites mucho más fácil </w:t>
      </w:r>
      <w:r w:rsidR="000C762D">
        <w:rPr>
          <w:rFonts w:ascii="Palatino Linotype" w:eastAsia="Palatino Linotype" w:hAnsi="Palatino Linotype" w:cs="Palatino Linotype"/>
          <w:sz w:val="22"/>
          <w:szCs w:val="22"/>
        </w:rPr>
        <w:t>y hacer</w:t>
      </w:r>
      <w:r>
        <w:rPr>
          <w:rFonts w:ascii="Palatino Linotype" w:eastAsia="Palatino Linotype" w:hAnsi="Palatino Linotype" w:cs="Palatino Linotype"/>
          <w:sz w:val="22"/>
          <w:szCs w:val="22"/>
        </w:rPr>
        <w:t xml:space="preserve"> más sencilla la vida a los ciudadanos, reduciendo tiempos de traslado, costos de los propios trámites y servicios, cerrando de manera definitiva la brecha a la corrupción que se da con gestores o con trámites que no están debidamente inscritos en el Registro Estatal de Trámites y Servicios.</w:t>
      </w:r>
    </w:p>
    <w:p w14:paraId="7E8A6235"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1DE69772" w14:textId="77777777"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lo concerniente al Compromiso Fortalecimiento de los Mecanismos Alternativos de Solución de Controversias como un medio de acceso a la justicia cotidiana, el cual consistió en la difusión y uso de estos para contar con personal profesional capacitado en paz social, mediación, conciliación y justicia restaurativa. Respecto a su avance informó que en las Caravanas por la Justicia Cotidiana se han implementado estos mecanismos para poder resolver conflictos ciudadanos que se presentan en los diversos municipios del Estado de México, resaltó que actualmente la Secretaría de Justicia y Derechos Humanos cuenta con 32 servidores públicos que han sido capacitados y certificados por el Poder Judicial, planeando que el próximo año el Ejecutivo Estatal cuente con el primer Centro Público de Mediación dependiente del Poder Ejecutivo en coordinación con el Poder Judicial, a su vez se está trabajando y realizando un plan de trabajo para que los convenios que celebre la Secretaría de Justicia y Derechos Humanos tengan carácter de cosas juzgada.</w:t>
      </w:r>
    </w:p>
    <w:p w14:paraId="324CC48F"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461D7B1D" w14:textId="77777777"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Acerca del Compromiso de contar con una Legislación Estatal en Materia de Justicia Cotidiana, comentó que el día diez de marzo de dos mil veintidós se publicó en el Periódico Oficial “Gaceta de Gobierno” la ley de Justicia Cotidiana del Estado de México, siendo esta ley estatal única en todo el País, la cual derivó de manera similar por la propuesta hecha por el Gobernador Alfredo del Mazo Maza. Esta iniciativa permite la colaboración y coordinación del Poder Ejecutivo con distintas instancias, además de que permite establecer e institucionalizar esquemas de justicia </w:t>
      </w:r>
      <w:r>
        <w:rPr>
          <w:rFonts w:ascii="Palatino Linotype" w:eastAsia="Palatino Linotype" w:hAnsi="Palatino Linotype" w:cs="Palatino Linotype"/>
          <w:sz w:val="22"/>
          <w:szCs w:val="22"/>
        </w:rPr>
        <w:lastRenderedPageBreak/>
        <w:t>itinerante teniendo como posibilidad la reducción de la marginación jurídica, así mismo hacer más profesional y eficiente el acceso a la justicia en conjunto con la participación del Registro Civil.</w:t>
      </w:r>
    </w:p>
    <w:p w14:paraId="7408E737"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149B2776" w14:textId="77777777"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la parte del Compromiso Fortalecimiento de los medios del acceso a la transparencia pública, datos abiertos y de interés público señaló que, a través de la coordinación institucional con el Instituto de Transparencia del Estado de México se creará para 2023 una plataforma tecnológica con datos útiles confiables y actualizados de interés público, reportando como avance que en coordinación con el municipio de Tlalnepantla y el Infoem se ha realizado un mapeo de plataformas tecnológicas que permiten ejercer el derecho de acceso a la información y participación ciudadana, detalló también que en breve tiempo se estarán presentando resultados con el ánimo de poder dar cumplimiento a este compromiso.</w:t>
      </w:r>
    </w:p>
    <w:p w14:paraId="1F45A4B9"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4DCD124A" w14:textId="77777777"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último, compartió lo concerniente al Compromiso de Generar alianzas con los municipios del Estado de México para la difusión uso y beneficio del acceso a la información, expuso como avance que, en coordinación con el Infoem se han llevado a cabo mecanismos de acercamiento a la ciudadanía, por lo que recordó que este último participa de manera activa, permanente y constante en las Caravanas por la Justicia Cotidiana, lo cual ha permitido tener reuniones y prácticas informativas con distintos municipios, autoridades municipales y ciudadanos, se han llevado a cabo pláticas informativas en 83 municipios y se han podido generar alianzas estratégicas con distintas autoridades municipales para contar con mayores canales de comunicación con los ciudadanos y generar la apertura de las autoridades municipales a un gobierno más democrático, transparente y proactivo en el ánimo de construir políticas públicas que sean de utilidad para los mexiquenses.</w:t>
      </w:r>
    </w:p>
    <w:p w14:paraId="4F438CDB"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6D7F7D94" w14:textId="77777777"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Al concluir la intervención el Facilitador agradeció al ponente y preguntó a los asistentes si deseaban realizar algún comentario al respecto, solicitando la palabra el Representante Suplente </w:t>
      </w:r>
      <w:r>
        <w:rPr>
          <w:rFonts w:ascii="Palatino Linotype" w:eastAsia="Palatino Linotype" w:hAnsi="Palatino Linotype" w:cs="Palatino Linotype"/>
          <w:sz w:val="22"/>
          <w:szCs w:val="22"/>
        </w:rPr>
        <w:lastRenderedPageBreak/>
        <w:t>de las Organizaciones de la Sociedad Civil, Enrique Serrano Arenas, el cual señaló que fue un informe amplio de todas las actividades que se desarrollan por parte de la Secretaría de Justicia y Derechos Humanos por parte Subsecretario Iván Barrera, en el cual se va cumpliendo el objetivo, por lo cual solicitó contar con una agenda de actividades de manera pública que se pudiese publicar en la página de gobierno abierto para dar mayor acceso a todo este gran esfuerzo institucional que realiza la Secretaría.</w:t>
      </w:r>
    </w:p>
    <w:p w14:paraId="4F0196AB"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0AFDFA5D" w14:textId="77777777"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Sobre el particular, el Subsecretario de Justicia señaló que al ser invitados del Secretario Técnico Local deben de dar ejemplo, porque este espacio ha sido muestra de una apertura institucional, de colaboración y de trabajo compartido entre distintas instituciones, por lo cual tomó la palabra a esta solicitud con el ánimo que en 2023 se pueda tener alguna plataforma donde compartir documentos e información y colaborar a difundir el trabajo que se realiza en todo el Estado de México contando con la Secretaría de Justicia como un aliado de la Sociedad Civil para impulsar y difundir esta agenda de actividades.</w:t>
      </w:r>
    </w:p>
    <w:p w14:paraId="4C7A65E6"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0EA41787" w14:textId="47725FA9"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su parte, el Comisionado Presidente del Infoem, José Martínez Vilchis, recordó que con las Caravanas de Justicia Cotidiana se ha tenido oportunidad de observar los servicios que ofrece el carnet jurídico y destacó que esta es una medida </w:t>
      </w:r>
      <w:r w:rsidR="000C762D">
        <w:rPr>
          <w:rFonts w:ascii="Palatino Linotype" w:eastAsia="Palatino Linotype" w:hAnsi="Palatino Linotype" w:cs="Palatino Linotype"/>
          <w:sz w:val="22"/>
          <w:szCs w:val="22"/>
        </w:rPr>
        <w:t>acertada, por</w:t>
      </w:r>
      <w:r>
        <w:rPr>
          <w:rFonts w:ascii="Palatino Linotype" w:eastAsia="Palatino Linotype" w:hAnsi="Palatino Linotype" w:cs="Palatino Linotype"/>
          <w:sz w:val="22"/>
          <w:szCs w:val="22"/>
        </w:rPr>
        <w:t xml:space="preserve"> lo que consultó si la carpeta ciudadana es una ampliación de los servicios que ofrece, por tal motivo solicitó al Subsecretario abundar lo que implica este Compromiso.</w:t>
      </w:r>
    </w:p>
    <w:p w14:paraId="482749E5"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264AA458" w14:textId="77777777"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este sentido el Subsecretario Iván Barrera profundizó que el 10 de marzo de este año con motivo del paquete de reformas que aprobó la legislatura y se publicaron en dicha fecha, ya se estableció en las Leyes de Mejora Regulatoria, de Gobierno Digital y en el Código Administrativo la posibilidad de que el Estado de México cuente con una carpeta ciudadana, la cual consiste en que se da apertura por primera vez a que los ciudadanos tengan de manera digital información y documentos resguardados que puedan consultar, descargar y compartir </w:t>
      </w:r>
      <w:r>
        <w:rPr>
          <w:rFonts w:ascii="Palatino Linotype" w:eastAsia="Palatino Linotype" w:hAnsi="Palatino Linotype" w:cs="Palatino Linotype"/>
          <w:sz w:val="22"/>
          <w:szCs w:val="22"/>
        </w:rPr>
        <w:lastRenderedPageBreak/>
        <w:t>en cualquier momento y que al mismo tiempo sean el mismo vehículo para poder acceder a otros documentos, siendo una de las llaves de acceso a esta carpeta ciudadana el carnet jurídico. La segunda llave de acceso es la Clave Única de Trámite de Servicios (CUTS), lo que va a contener el carnet jurídico es esta credencial el cual es una identificación oficial que contiene un código QR y varias medidas de seguridad para que los ciudadanos puedan leer este código y descargar la aplicación de la Carpeta Ciudadana.</w:t>
      </w:r>
    </w:p>
    <w:p w14:paraId="188F88C1"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557E2436" w14:textId="77777777"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También señaló que se están realizando pruebas piloto con seis documentos que son: la licencia electrónica de manera digital, la carta de no antecedentes penales, las actas de nacimiento propias y de hijos, de matrimonio y actas de divorcio. Estos documentos conforman los primeros que están inscritos en esta carpeta ciudadana, reiterando que se está terminando de dar forma a la misma carpeta y la plataforma digital, para entrar posteriormente en un periodo de capacitación en las primeras semanas de enero y con el ánimo de que el Gobernador pueda dar la puesta en marcha para el uso del carnet como medio de acceso a la carpeta ciudadana, lo que dará un avance tecnológico y de relevancia en el Estado de México, buscando incorporar a más dependencias en esta plataforma conforme estas estén listas para ir sumando más documentos a ella.</w:t>
      </w:r>
    </w:p>
    <w:p w14:paraId="63400C1F"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2B1DFFAB" w14:textId="77777777"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Comisionado Presidente del Infoem agregó que, también se encuentra listo el Instituto para que estos servicios que se ofrecen de vía electrónica que significan ahorro en tiempo y de dinero para la gente son muy valiosos, porque es aplicar medidas electrónicas a la solución de problemas prácticos de la vida cotidiana, por lo que se debe velar el tema de protección de datos personales, para que este no pueda convertirse en algún impedimento u obstáculo y prospere esta iniciativa.</w:t>
      </w:r>
    </w:p>
    <w:p w14:paraId="38E60702"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highlight w:val="yellow"/>
        </w:rPr>
      </w:pPr>
    </w:p>
    <w:p w14:paraId="6BA7A0EE" w14:textId="52DF51AA" w:rsidR="00A1419A" w:rsidRDefault="000C762D">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Así</w:t>
      </w:r>
      <w:r w:rsidR="00000000">
        <w:rPr>
          <w:rFonts w:ascii="Palatino Linotype" w:eastAsia="Palatino Linotype" w:hAnsi="Palatino Linotype" w:cs="Palatino Linotype"/>
          <w:sz w:val="22"/>
          <w:szCs w:val="22"/>
        </w:rPr>
        <w:t xml:space="preserve"> mismo, el Comisionado del Infoem Luis Gustavo Parra Noriega, complementando el comentario del Comisionado Presidente del </w:t>
      </w:r>
      <w:r>
        <w:rPr>
          <w:rFonts w:ascii="Palatino Linotype" w:eastAsia="Palatino Linotype" w:hAnsi="Palatino Linotype" w:cs="Palatino Linotype"/>
          <w:sz w:val="22"/>
          <w:szCs w:val="22"/>
        </w:rPr>
        <w:t>I</w:t>
      </w:r>
      <w:r w:rsidR="00000000">
        <w:rPr>
          <w:rFonts w:ascii="Palatino Linotype" w:eastAsia="Palatino Linotype" w:hAnsi="Palatino Linotype" w:cs="Palatino Linotype"/>
          <w:sz w:val="22"/>
          <w:szCs w:val="22"/>
        </w:rPr>
        <w:t xml:space="preserve">nfoem José Martínez Vilchis reiteró la disposición </w:t>
      </w:r>
      <w:r w:rsidR="00000000">
        <w:rPr>
          <w:rFonts w:ascii="Palatino Linotype" w:eastAsia="Palatino Linotype" w:hAnsi="Palatino Linotype" w:cs="Palatino Linotype"/>
          <w:sz w:val="22"/>
          <w:szCs w:val="22"/>
        </w:rPr>
        <w:lastRenderedPageBreak/>
        <w:t>del Instituto para coadyuvar con algunas herramientas preventivas que contempla la ley de datos como la evaluación de impacto o alguna auditoría voluntaria. Resaltó que eso ayudaría a cubrir cualquiera de los frentes debido a que siguen siendo datos de la información de los ciudadanos, estando latente la preocupación para garantizar totalmente condiciones de seguridad y de evitar cualquier tipo de uso no autorizado o de discriminante, y contar con un debido tratamiento, en ese sentido subrayó que existen los mecanismos jurídicos para su blindaje.</w:t>
      </w:r>
    </w:p>
    <w:p w14:paraId="18D5B610"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59B630FE" w14:textId="77777777"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otra parte, destacó la intervención de la Secretaría de Justicia de Derechos Humanos en todo este proceso, tanto en el Plan de Gobierno Abierto a través del Secretariado como en el esfuerzo que se está haciendo con la OGP, así como el trabajo coordinado que se ha podido realizar e incluso coincidir en eventos internacionales donde se mostró el trabajo y el esfuerzo que se está haciendo desde el Estado de México, de tal manera que todos puedan colaborar al ser corresponsables de todos estos compromisos en materia de Acceso a la Información, de Gobierno Abierto, de Justicia Cotidiana, de Justicia Abierta, esperando continuar con esta coordinación para concluir los trabajos de los compromisos. </w:t>
      </w:r>
    </w:p>
    <w:p w14:paraId="3D826E6B"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4FD2D929" w14:textId="77777777"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Al terminar las intervenciones, el Facilitador agradeció la participación y preguntó a los presentes si deseaban agregar algún comentario al respecto, sin que hubiera intervenciones, y al ser de carácter informativo, prosiguió con el desarrollo de la sesión.</w:t>
      </w:r>
    </w:p>
    <w:p w14:paraId="66E1CF03"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7FCF8D1D" w14:textId="77777777"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VI.- </w:t>
      </w:r>
      <w:r>
        <w:rPr>
          <w:rFonts w:ascii="Palatino Linotype" w:eastAsia="Palatino Linotype" w:hAnsi="Palatino Linotype" w:cs="Palatino Linotype"/>
          <w:sz w:val="22"/>
          <w:szCs w:val="22"/>
        </w:rPr>
        <w:t>Para el desahogo del sexto punto del orden del día, referente a la Presentación de avances del Compromiso Proactivo del Poder Judicial, José Edgar Marín Pérez, Titular de la Unidad de Transparencia, en Representación del Magistrado Presidente del Poder Judicial del Estado de México Ricardo Sodi Cuéllar.</w:t>
      </w:r>
    </w:p>
    <w:p w14:paraId="5865885F"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4A2D81A6" w14:textId="0C4422F7"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El expositor recordó que el Compromiso Proactivo que se encuentra desarrollándose a través </w:t>
      </w:r>
      <w:r w:rsidR="000C762D">
        <w:rPr>
          <w:rFonts w:ascii="Palatino Linotype" w:eastAsia="Palatino Linotype" w:hAnsi="Palatino Linotype" w:cs="Palatino Linotype"/>
          <w:sz w:val="22"/>
          <w:szCs w:val="22"/>
        </w:rPr>
        <w:lastRenderedPageBreak/>
        <w:t>del</w:t>
      </w:r>
      <w:r>
        <w:rPr>
          <w:rFonts w:ascii="Palatino Linotype" w:eastAsia="Palatino Linotype" w:hAnsi="Palatino Linotype" w:cs="Palatino Linotype"/>
          <w:sz w:val="22"/>
          <w:szCs w:val="22"/>
        </w:rPr>
        <w:t xml:space="preserve"> Centro Estatal de Mediación, Conciliación y Justicia Restaurativa, tiene la finalidad de generar mecanismos de participación ciudadana que favorezcan el acceso a la justicia y el avance de la Justicia Abierta del Poder Judicial del Estado de México, a través de la promoción de la cultura de paz, diálogo y entendimiento, centrado en grupos de condición de vulnerabilidad. </w:t>
      </w:r>
    </w:p>
    <w:p w14:paraId="4ED38EAD"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251566BB" w14:textId="2943174D"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ese sentido, señaló que el mecanismo que se ha venido trabajando con los Círculos Restaurativos a través de distintas fases, en la  primera fase se realizó una selección de jóvenes que se encuentran en calidad de acogimiento residencial en distintos Centros de Asistencia social </w:t>
      </w:r>
      <w:r w:rsidR="000C762D">
        <w:rPr>
          <w:rFonts w:ascii="Palatino Linotype" w:eastAsia="Palatino Linotype" w:hAnsi="Palatino Linotype" w:cs="Palatino Linotype"/>
          <w:sz w:val="22"/>
          <w:szCs w:val="22"/>
        </w:rPr>
        <w:t>del</w:t>
      </w:r>
      <w:r>
        <w:rPr>
          <w:rFonts w:ascii="Palatino Linotype" w:eastAsia="Palatino Linotype" w:hAnsi="Palatino Linotype" w:cs="Palatino Linotype"/>
          <w:sz w:val="22"/>
          <w:szCs w:val="22"/>
        </w:rPr>
        <w:t xml:space="preserve"> Sistema para el Desarrollo Integral de la Familia, para poder facilitar la serie de mecanismos de interacción con la sociedad civil para favorecer ese tránsito, reconociendo la colaboración de las distintas Instituciones en este proceso para que jóvenes entre 17 y 18 años continúen estudiando y se incorporen a la sociedad.</w:t>
      </w:r>
    </w:p>
    <w:p w14:paraId="4112CC48"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0933B06A" w14:textId="77777777"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igual manera se ha realizado un manual de los Círculos Restaurativos para los Centros de Asistencia social, en donde de manera vinculante se han gestado estas reuniones en donde las instituciones de la Sociedad Civil se han acercado de manera proactiva con los jóvenes para poder dar a conocer cuáles son los servicios y los mecanismos de interacción para cuando llegue el momento de su salida puedan buscar la ayuda de estas de estas organizaciones de la sociedad civil y poder desarrollarse. Mencionó que, en la segunda fase se realizó la primera entrevista con el grupo piloto con el objetivo de que cada joven acepte participar en el proyecto y conozca la metodología de los círculos.</w:t>
      </w:r>
    </w:p>
    <w:p w14:paraId="1F038636"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654085D4" w14:textId="77777777"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Respecto a la tercera fase, mencionó que se ha identificado que sociedades civiles participantes a través de esta misión, destacando que el pasado 21 de octubre en la Biblioteca Municipal del Ayuntamiento de Toluca, se tuvo un acercamiento entre las distintas instituciones de la sociedad civil organizada y los jóvenes participantes, en coadyuvancia con el Sistema para el Desarrollo </w:t>
      </w:r>
      <w:r>
        <w:rPr>
          <w:rFonts w:ascii="Palatino Linotype" w:eastAsia="Palatino Linotype" w:hAnsi="Palatino Linotype" w:cs="Palatino Linotype"/>
          <w:sz w:val="22"/>
          <w:szCs w:val="22"/>
        </w:rPr>
        <w:lastRenderedPageBreak/>
        <w:t xml:space="preserve">Integral de la Familia, en donde además de ese acercamiento se contó con la posibilidad de que los propios jóvenes conozcan los mecanismos por los que se puede fortalecer el esquema de desarrollo de toda de todas y cada una de sus potencialidades. Por lo concerniente a la cuarta fase, comentó que esta comprende la elaboración y entrega del catálogo de asistencia social y la realización de círculos de empatía entre sociedad civil y jóvenes. </w:t>
      </w:r>
    </w:p>
    <w:p w14:paraId="775B0967"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7A84AA21" w14:textId="77777777"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Sobre los avances a reportar dentro del periodo comprendido entre noviembre y diciembre, sobre la elaboración de instrumentos de evaluación para los jóvenes habrán de realizarse cuadros de seguimiento que permitan mostrar el avance que tendrá cada uno de ellos así como las mejoras y poder abrirse a nuevos grupos focales y regiones del Estado, el cual se encuentra en desarrollo por parte del Centro de Mediación Conciliación y Justicia Restaurativa, a lo cual reconoció la participación decidida de su Director General el Magistrado Sergio Arturo Valls Esponda, siendo un agente  de vinculación no solamente con el gobierno del Estado de México sino también de manera proactiva con la sociedad civil lo que ha fortalecido estos canales de comunicación, de tal manera que se esté prácticamente en el cierre de esta línea de acción.</w:t>
      </w:r>
    </w:p>
    <w:p w14:paraId="4E7F9B9D"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1081B7F8" w14:textId="77777777"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Al concluir la presentación, el Facilitador agradeció al ponente y abrió el espacio para comentarios, solicitando la palabra el Representante Titular de Sociedad Civil, el cual agradeció la participación del Poder Judicial así como el mecanismo de colaboración con la sociedad civil en todo el desarrollo del Compromiso, por lo que solicitó que las instituciones principalmente de Sociedad Civil que intervienen en este, se puedan incorporar también al Secretariado Técnico Local, ya que su Convocatoria de Integración está abierta en cualquier momento para ello.</w:t>
      </w:r>
    </w:p>
    <w:p w14:paraId="5B7B6814"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2854AFF1" w14:textId="77777777"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También solicitó su participación el Comisionado Luis Gustavo Parra Noriega, quien externó su reconocimiento al trabajo realizado por  el Poder Judicial a través del liderazgo del Doctor Ricardo Sodi, de la Consejera Fabiola Aparicio y por supuesto ahora de su Titular de Transparencia Edgar Marín que se ha involucrado directamente en todos estos trabajos; por otra </w:t>
      </w:r>
      <w:r>
        <w:rPr>
          <w:rFonts w:ascii="Palatino Linotype" w:eastAsia="Palatino Linotype" w:hAnsi="Palatino Linotype" w:cs="Palatino Linotype"/>
          <w:sz w:val="22"/>
          <w:szCs w:val="22"/>
        </w:rPr>
        <w:lastRenderedPageBreak/>
        <w:t>parte, también se sumó al comentario del Representante Sociedad Civil en el sentido del acompañamiento que se pudiera seguir teniendo de forma muy cercana y conocerla a veces de primera mano y estar en esos centros o el estar en contacto con esta realidad que tienen estos jóvenes lo que ayuda a reafirmar nuestra voluntad de servicio nuestra vocación política y de servicio público a partir de estos mecanismos institucionales con la participación de todas las organizaciones de sociedad civil participantes, siendo relevante esa vinculación y con ello pueda resultar en estas segundas oportunidades.</w:t>
      </w:r>
    </w:p>
    <w:p w14:paraId="53EE80DF"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7FD2E06C" w14:textId="0ADE18B8"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ese sentido, el Titular de Transparencia Edgar </w:t>
      </w:r>
      <w:r w:rsidR="000C762D">
        <w:rPr>
          <w:rFonts w:ascii="Palatino Linotype" w:eastAsia="Palatino Linotype" w:hAnsi="Palatino Linotype" w:cs="Palatino Linotype"/>
          <w:sz w:val="22"/>
          <w:szCs w:val="22"/>
        </w:rPr>
        <w:t>Marín</w:t>
      </w:r>
      <w:r>
        <w:rPr>
          <w:rFonts w:ascii="Palatino Linotype" w:eastAsia="Palatino Linotype" w:hAnsi="Palatino Linotype" w:cs="Palatino Linotype"/>
          <w:sz w:val="22"/>
          <w:szCs w:val="22"/>
        </w:rPr>
        <w:t>, agradeció ambos comentarios por lo que asintió el compartir esta invitación, y conocer la experiencia del círculo restaurativo, considerando sea el portavoz con el Magistrado Sergio Arturo Valls, Director General del Centro Estatal de Mediación, Conciliación y Justicia Restaurativa, de igual manera con Magistrado Presidente el Doctor Ricardo Sodi para que en el siguiente este Círculo Restaurativo puedan acompañar los presentes esta actividad.</w:t>
      </w:r>
    </w:p>
    <w:p w14:paraId="57F88146"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738445F3" w14:textId="77777777"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Facilitador agradeció las intervenciones y dio paso al séptimo punto del orden del día.</w:t>
      </w:r>
    </w:p>
    <w:p w14:paraId="347C6E38"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249D2666" w14:textId="77777777"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VII.- </w:t>
      </w:r>
      <w:r>
        <w:rPr>
          <w:rFonts w:ascii="Palatino Linotype" w:eastAsia="Palatino Linotype" w:hAnsi="Palatino Linotype" w:cs="Palatino Linotype"/>
          <w:sz w:val="22"/>
          <w:szCs w:val="22"/>
        </w:rPr>
        <w:t>Para el desahogo del séptimo punto del orden del día, el Facilitador cedió la palabra a Luis Gustavo Parra Noriega, Comisionado del Infoem para exponer lo referente a los avances del Compromiso Proactivo del Instituto de Transparencia, Acceso a la Información Pública y Protección de Datos Personales del Estado de México y Municipios;</w:t>
      </w:r>
    </w:p>
    <w:p w14:paraId="3BD6D88B"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3C3E1CE5" w14:textId="252A900F" w:rsidR="00A1419A" w:rsidRDefault="000C762D">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Primeramente,</w:t>
      </w:r>
      <w:r w:rsidR="00000000">
        <w:rPr>
          <w:rFonts w:ascii="Palatino Linotype" w:eastAsia="Palatino Linotype" w:hAnsi="Palatino Linotype" w:cs="Palatino Linotype"/>
          <w:sz w:val="22"/>
          <w:szCs w:val="22"/>
        </w:rPr>
        <w:t xml:space="preserve"> presentó los </w:t>
      </w:r>
      <w:r>
        <w:rPr>
          <w:rFonts w:ascii="Palatino Linotype" w:eastAsia="Palatino Linotype" w:hAnsi="Palatino Linotype" w:cs="Palatino Linotype"/>
          <w:sz w:val="22"/>
          <w:szCs w:val="22"/>
        </w:rPr>
        <w:t>avances de</w:t>
      </w:r>
      <w:r w:rsidR="00000000">
        <w:rPr>
          <w:rFonts w:ascii="Palatino Linotype" w:eastAsia="Palatino Linotype" w:hAnsi="Palatino Linotype" w:cs="Palatino Linotype"/>
          <w:sz w:val="22"/>
          <w:szCs w:val="22"/>
        </w:rPr>
        <w:t xml:space="preserve"> los resultados obtenidos respecto a la evaluación que se realizó a la ciudadanía en el marco del levantamiento de información para realizar el estudio de apertura gubernamental, el cual es uno de los compromisos del Instituto de Transparencia del Estado de México. Señaló que se abrió un periodo razonable para poner a disposición de la ciudadanía información referente a los cuestionarios respondidos por los municipios con la </w:t>
      </w:r>
      <w:r w:rsidR="00000000">
        <w:rPr>
          <w:rFonts w:ascii="Palatino Linotype" w:eastAsia="Palatino Linotype" w:hAnsi="Palatino Linotype" w:cs="Palatino Linotype"/>
          <w:sz w:val="22"/>
          <w:szCs w:val="22"/>
        </w:rPr>
        <w:lastRenderedPageBreak/>
        <w:t xml:space="preserve">finalidad de que desde el sector social se pudieran corroborar los reactivos en un diagnóstico. En el caso del estudio que nos ocupa, se recibieron 32 aportaciones que abarcan ciudadanos de 15 municipios, entre ellos, Calimaya, Jocotitlán, Lerma, Metepec, Mexicaltzingo, Naucalpan, Ocuilan, San Antonio la Isla, San Felipe del Progreso, San Mateo Atenco, Tianguistenco, Tlatlaya, Toluca, Villa Victoria y Zinacantepec, representando en total el 12% de los municipios. Dentro de los hallazgos más relevantes en la dimensión de normatividad, se encontró que para los ciudadanos el espacio más visible de incidencia social, son los Consejos de Participación Ciudadana. Por otro </w:t>
      </w:r>
      <w:r>
        <w:rPr>
          <w:rFonts w:ascii="Palatino Linotype" w:eastAsia="Palatino Linotype" w:hAnsi="Palatino Linotype" w:cs="Palatino Linotype"/>
          <w:sz w:val="22"/>
          <w:szCs w:val="22"/>
        </w:rPr>
        <w:t>lado,</w:t>
      </w:r>
      <w:r w:rsidR="00000000">
        <w:rPr>
          <w:rFonts w:ascii="Palatino Linotype" w:eastAsia="Palatino Linotype" w:hAnsi="Palatino Linotype" w:cs="Palatino Linotype"/>
          <w:sz w:val="22"/>
          <w:szCs w:val="22"/>
        </w:rPr>
        <w:t xml:space="preserve"> en los municipios de Lerma Tlatlaya, Toluca y San Felipe del Progreso, la ciudadanía distingue además foros multiactor para la toma de decisiones, si bien esto limitado a modelos de cabildo abierto o acercamiento a través de Copacis. En términos de incidencia real en toma de </w:t>
      </w:r>
      <w:r>
        <w:rPr>
          <w:rFonts w:ascii="Palatino Linotype" w:eastAsia="Palatino Linotype" w:hAnsi="Palatino Linotype" w:cs="Palatino Linotype"/>
          <w:sz w:val="22"/>
          <w:szCs w:val="22"/>
        </w:rPr>
        <w:t>decisiones en</w:t>
      </w:r>
      <w:r w:rsidR="00000000">
        <w:rPr>
          <w:rFonts w:ascii="Palatino Linotype" w:eastAsia="Palatino Linotype" w:hAnsi="Palatino Linotype" w:cs="Palatino Linotype"/>
          <w:sz w:val="22"/>
          <w:szCs w:val="22"/>
        </w:rPr>
        <w:t xml:space="preserve"> esos municipios los ciudadanos no alcanzaron a precisar si hay o no espacios de diálogo, dicho desconcierto se puede deber a una falta de difusión o a la ausencia de los mismos. Mencionó que en cualquiera de los casos es importante visibilizar áreas de oportunidad y realizar acercamientos puntuales, para promover la creación de tales espacios, específicamente a través de la instalación de Secretariados Técnicos Locales, que es parte de la línea de acción número 2 del compromiso proactivo del Infoem.</w:t>
      </w:r>
    </w:p>
    <w:p w14:paraId="35E75336"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0670062D" w14:textId="77777777"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Relacionado con la dimensión de Transparencia, enfatizó que gran parte de los ciudadanos que participaron de este ejercicio afirmaron que consultan lo que publican los municipios en sus páginas institucionales, y en relación con la dimensión de tecnologías  de la Información en la que se promueve el gobierno electrónico en municipios como Lerma, Metepec, Toluca y Zinacantepec, se considera que si hay una adecuada estrategia de comunicación. También precisó que la Evaluación de la Gestión Municipal y la Rendición de cuentas de manera transversal, en donde realmente se involucra ciudadanía en el seguimiento y control administrativo, y menciona que si bien se puede cumplir a través de Copacis, tiene un espacio limitado de actuación. </w:t>
      </w:r>
    </w:p>
    <w:p w14:paraId="12A9B1BC"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1314346B" w14:textId="77777777"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En términos generales estas percepciones ayudan a tener una primera perspectiva más específica respecto a las condiciones de apertura municipal, sin embargo, no dejó de mencionar que es necesario un mayor involucramiento, tanto de sociedad civil, como del órgano garante, para que así la agenda de gobierno abierto pueda impulsarse y tomando en cuenta los municipios donde ya se tiene información de la ciudadanía, articular esfuerzos en conjunto para coadyuvar a que sea una realidad. Señalo que el Infoem estará promoviendo esfuerzos a través de redes sociales e incluso llevando a cabo alguna sesión de manera pública para contar con una retroalimentación más directa de los ciudadanos y poder aprovechar más las Tecnologías de Información. </w:t>
      </w:r>
    </w:p>
    <w:p w14:paraId="092BAC6A"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6B82132E" w14:textId="77777777"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Al concluir la intervención el Facilitador agradeció al ponente y preguntó a los asistentes si deseaban realizar algún comentario al respecto, solicitando la palabra el Representante Suplente de las Organizaciones de la Sociedad Civil, Enrique Serrano Arenas, el cual extendió una felicitación al Infoem por su micrositio del Compromiso Proactivo, en el cual señala el objetivo, cómo fue que se construyó y aquellos insumos que son resultado de ese diagnóstico, los cuales, incluso son descargables y como resultado cada ciudadano puede sacar sus propias conclusiones.</w:t>
      </w:r>
    </w:p>
    <w:p w14:paraId="7826C025"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01A65623" w14:textId="77777777"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su parte, el Comisionado Presidente del Infoem, José Martínez Vilchis recalcó que no se debe bajar la guardia aunque puedan parecer desalentadores los resultados sobre el nivel de participación social, además señaló que se están abriendo nuevas formas de acercamiento con metodologías de trabajo municipal. </w:t>
      </w:r>
    </w:p>
    <w:p w14:paraId="65433895"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5EDE8AFD" w14:textId="77777777"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mismo, Carlos de la Peña Jiménez O´Farril, Representante Titular de Sociedad Civil, hizo uso de la voz para sumarse al reconocimiento del Infoem por su micrositio del Compromiso Proactivo. Posteriormente a modo de autocrítica como Sociedad Civil mencionó que tienen una gran herramienta de participación con la creación de este micrositio, pero se han mostrado </w:t>
      </w:r>
      <w:r>
        <w:rPr>
          <w:rFonts w:ascii="Palatino Linotype" w:eastAsia="Palatino Linotype" w:hAnsi="Palatino Linotype" w:cs="Palatino Linotype"/>
          <w:sz w:val="22"/>
          <w:szCs w:val="22"/>
        </w:rPr>
        <w:lastRenderedPageBreak/>
        <w:t xml:space="preserve">omisos y menciona que al final del día Sociedad Civil está obligada a participar en estos trabajos; por consiguiente, una de las propuestas claras que realiza, es que el próximo año se pueda continuar con la difusión de este tipo de programas. Recalcó que desde Sociedad Civil se comprometen a trabajar de manera conjunta en la difusión de estos temas de gran importancia para generar participación de manera más activa y poder ir más allá del 12% de la participación que se ha logrado a la fecha. </w:t>
      </w:r>
    </w:p>
    <w:p w14:paraId="1A86EF91"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45A1577B" w14:textId="77777777"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Posteriormente, el Comisionado del Infoem Luis Gustavo Parra Noriega tomó la palabra para señalar que se tienen que fortalecer los mecanismos de vinculación con los Comités de Participación Ciudadana de los Municipios en el campo Anticorrupción para impulsar el Gobierno Abierto, y además tener más acercamiento con universidades y así puedan tener una mayor participación cualitativa, así mismo agradeció las participaciones y comentarios y señaló que se seguirán con los trabajos.</w:t>
      </w:r>
    </w:p>
    <w:p w14:paraId="59A5E04D"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4B9AC2EA" w14:textId="77777777"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su parte Marco Becerril Garcés, enlace Representante del Secretario de la Contraloría, Javier Vargas Zempoatecatl, se sumó a la felicitación por los grandes esfuerzos que se han realizado. En segundo lugar señaló que la Secretaría de la Contraloría tuvo una reunión en el mes de septiembre en el cual se planteó que el compromiso que están desarrollado se encuentra vinculado con la integridad pública de los municipios. Mencionó también que el compromiso además de que contará con el acompañamiento de Sociedad Civil, podría contemplar un paso necesario que es el de aprovechar los compromisos que ya se encuentran en marcha, en ese sentido buscan aprovechar el compromiso del Infoem para así poder impulsarlo con el trabajo que ellos realicen. </w:t>
      </w:r>
    </w:p>
    <w:p w14:paraId="0B3455CA"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71CBE47F" w14:textId="77777777"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Posteriormente retomó el acuerdo de llevar a cabo una sesión de sensibilización no solo para la Secretaría de la Contraloría , sino también a los otros dos entes públicos que se están considerando a que participen en el desarrollo de este compromiso, siendo el Poder Legislativo </w:t>
      </w:r>
      <w:r>
        <w:rPr>
          <w:rFonts w:ascii="Palatino Linotype" w:eastAsia="Palatino Linotype" w:hAnsi="Palatino Linotype" w:cs="Palatino Linotype"/>
          <w:sz w:val="22"/>
          <w:szCs w:val="22"/>
        </w:rPr>
        <w:lastRenderedPageBreak/>
        <w:t xml:space="preserve">y la Secretaría Ejecutiva del Sistema Estatal Anticorrupción, y así se puedan involucrar de una manera más informada  en todo el proceso.  </w:t>
      </w:r>
    </w:p>
    <w:p w14:paraId="3609CC3B"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30ECC315" w14:textId="77777777"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ese sentido, el Comisionado Suplente del Órgano garante, reiteró el apoyo para llevar a cabo la jornada de sensibilización que solicita la Secretaría de la Contraloría la cual será de gran ayuda para encaminar el desarrollo de su compromiso. </w:t>
      </w:r>
    </w:p>
    <w:p w14:paraId="0604D9B2"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032025B5" w14:textId="77777777"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Facilitador agradeció las intervenciones y dio paso al octavo punto del orden del día.</w:t>
      </w:r>
    </w:p>
    <w:p w14:paraId="03535265"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2E8CA4AB" w14:textId="77777777" w:rsidR="00A1419A" w:rsidRDefault="00000000">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VIII.- </w:t>
      </w:r>
      <w:r>
        <w:rPr>
          <w:rFonts w:ascii="Palatino Linotype" w:eastAsia="Palatino Linotype" w:hAnsi="Palatino Linotype" w:cs="Palatino Linotype"/>
          <w:sz w:val="22"/>
          <w:szCs w:val="22"/>
        </w:rPr>
        <w:t xml:space="preserve">En el desarrollo del octavo punto del orden del día, concerniente a la presentación, discusión y, en su caso, aprobación del calendario de sesiones del Secretariado Técnico Local 2023, por parte del Facilitador del Secretariado Técnico Local, Horacio, en uso de la voz procedió a revisar las fechas programadas. </w:t>
      </w:r>
    </w:p>
    <w:p w14:paraId="6495F288" w14:textId="77777777" w:rsidR="00A1419A" w:rsidRDefault="00A1419A">
      <w:pPr>
        <w:spacing w:after="160" w:line="259" w:lineRule="auto"/>
        <w:rPr>
          <w:rFonts w:ascii="Calibri" w:eastAsia="Calibri" w:hAnsi="Calibri" w:cs="Calibri"/>
          <w:sz w:val="22"/>
          <w:szCs w:val="22"/>
        </w:rPr>
      </w:pPr>
    </w:p>
    <w:tbl>
      <w:tblPr>
        <w:tblStyle w:val="affc"/>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A1419A" w14:paraId="5DC90E53" w14:textId="77777777">
        <w:trPr>
          <w:jc w:val="center"/>
        </w:trPr>
        <w:tc>
          <w:tcPr>
            <w:tcW w:w="4414" w:type="dxa"/>
            <w:shd w:val="clear" w:color="auto" w:fill="9CC3E5"/>
          </w:tcPr>
          <w:p w14:paraId="6786295D" w14:textId="77777777" w:rsidR="00A1419A" w:rsidRDefault="00000000">
            <w:pPr>
              <w:jc w:val="center"/>
              <w:rPr>
                <w:rFonts w:ascii="Palatino Linotype" w:eastAsia="Palatino Linotype" w:hAnsi="Palatino Linotype" w:cs="Palatino Linotype"/>
                <w:b/>
                <w:color w:val="FFFFFF"/>
                <w:sz w:val="20"/>
                <w:szCs w:val="20"/>
              </w:rPr>
            </w:pPr>
            <w:r>
              <w:rPr>
                <w:rFonts w:ascii="Palatino Linotype" w:eastAsia="Palatino Linotype" w:hAnsi="Palatino Linotype" w:cs="Palatino Linotype"/>
                <w:b/>
                <w:color w:val="FFFFFF"/>
                <w:sz w:val="20"/>
                <w:szCs w:val="20"/>
              </w:rPr>
              <w:t>Día</w:t>
            </w:r>
          </w:p>
        </w:tc>
        <w:tc>
          <w:tcPr>
            <w:tcW w:w="4414" w:type="dxa"/>
            <w:shd w:val="clear" w:color="auto" w:fill="9CC3E5"/>
          </w:tcPr>
          <w:p w14:paraId="20EDCC73" w14:textId="77777777" w:rsidR="00A1419A" w:rsidRDefault="00000000">
            <w:pPr>
              <w:jc w:val="center"/>
              <w:rPr>
                <w:rFonts w:ascii="Palatino Linotype" w:eastAsia="Palatino Linotype" w:hAnsi="Palatino Linotype" w:cs="Palatino Linotype"/>
                <w:b/>
                <w:color w:val="FFFFFF"/>
                <w:sz w:val="20"/>
                <w:szCs w:val="20"/>
              </w:rPr>
            </w:pPr>
            <w:r>
              <w:rPr>
                <w:rFonts w:ascii="Palatino Linotype" w:eastAsia="Palatino Linotype" w:hAnsi="Palatino Linotype" w:cs="Palatino Linotype"/>
                <w:b/>
                <w:color w:val="FFFFFF"/>
                <w:sz w:val="20"/>
                <w:szCs w:val="20"/>
              </w:rPr>
              <w:t>Sesión de la Comisión</w:t>
            </w:r>
          </w:p>
        </w:tc>
      </w:tr>
      <w:tr w:rsidR="00A1419A" w14:paraId="15B11430" w14:textId="77777777">
        <w:trPr>
          <w:trHeight w:val="449"/>
          <w:jc w:val="center"/>
        </w:trPr>
        <w:tc>
          <w:tcPr>
            <w:tcW w:w="4414" w:type="dxa"/>
            <w:vAlign w:val="center"/>
          </w:tcPr>
          <w:p w14:paraId="053768FD" w14:textId="77777777" w:rsidR="00A1419A" w:rsidRDefault="00000000">
            <w:pPr>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Viernes 24 de febrero de 2023</w:t>
            </w:r>
          </w:p>
        </w:tc>
        <w:tc>
          <w:tcPr>
            <w:tcW w:w="4414" w:type="dxa"/>
            <w:vAlign w:val="center"/>
          </w:tcPr>
          <w:p w14:paraId="39C3556D" w14:textId="77777777" w:rsidR="00A1419A" w:rsidRDefault="00000000">
            <w:pPr>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16a Sesión Ordinaria.</w:t>
            </w:r>
          </w:p>
        </w:tc>
      </w:tr>
      <w:tr w:rsidR="00A1419A" w14:paraId="08B1B7EE" w14:textId="77777777">
        <w:trPr>
          <w:trHeight w:val="509"/>
          <w:jc w:val="center"/>
        </w:trPr>
        <w:tc>
          <w:tcPr>
            <w:tcW w:w="4414" w:type="dxa"/>
            <w:vAlign w:val="center"/>
          </w:tcPr>
          <w:p w14:paraId="456023E5" w14:textId="77777777" w:rsidR="00A1419A" w:rsidRDefault="00000000">
            <w:pPr>
              <w:jc w:val="center"/>
              <w:rPr>
                <w:rFonts w:ascii="Calibri" w:eastAsia="Calibri" w:hAnsi="Calibri" w:cs="Calibri"/>
                <w:sz w:val="20"/>
                <w:szCs w:val="20"/>
              </w:rPr>
            </w:pPr>
            <w:r>
              <w:rPr>
                <w:rFonts w:ascii="Palatino Linotype" w:eastAsia="Palatino Linotype" w:hAnsi="Palatino Linotype" w:cs="Palatino Linotype"/>
                <w:sz w:val="20"/>
                <w:szCs w:val="20"/>
              </w:rPr>
              <w:t>Viernes 28 de abril de 2023</w:t>
            </w:r>
          </w:p>
        </w:tc>
        <w:tc>
          <w:tcPr>
            <w:tcW w:w="4414" w:type="dxa"/>
            <w:vAlign w:val="center"/>
          </w:tcPr>
          <w:p w14:paraId="144DD359" w14:textId="77777777" w:rsidR="00A1419A" w:rsidRDefault="00000000">
            <w:pPr>
              <w:jc w:val="center"/>
              <w:rPr>
                <w:rFonts w:ascii="Calibri" w:eastAsia="Calibri" w:hAnsi="Calibri" w:cs="Calibri"/>
                <w:sz w:val="20"/>
                <w:szCs w:val="20"/>
              </w:rPr>
            </w:pPr>
            <w:r>
              <w:rPr>
                <w:rFonts w:ascii="Palatino Linotype" w:eastAsia="Palatino Linotype" w:hAnsi="Palatino Linotype" w:cs="Palatino Linotype"/>
                <w:sz w:val="20"/>
                <w:szCs w:val="20"/>
              </w:rPr>
              <w:t>17a Sesión Ordinaria.</w:t>
            </w:r>
          </w:p>
        </w:tc>
      </w:tr>
      <w:tr w:rsidR="00A1419A" w14:paraId="7BB62AE7" w14:textId="77777777">
        <w:trPr>
          <w:trHeight w:val="479"/>
          <w:jc w:val="center"/>
        </w:trPr>
        <w:tc>
          <w:tcPr>
            <w:tcW w:w="4414" w:type="dxa"/>
            <w:vAlign w:val="center"/>
          </w:tcPr>
          <w:p w14:paraId="24E9DA96" w14:textId="77777777" w:rsidR="00A1419A" w:rsidRDefault="00000000">
            <w:pPr>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Viernes 30 de junio de 2023</w:t>
            </w:r>
          </w:p>
        </w:tc>
        <w:tc>
          <w:tcPr>
            <w:tcW w:w="4414" w:type="dxa"/>
            <w:vAlign w:val="center"/>
          </w:tcPr>
          <w:p w14:paraId="3A737E04" w14:textId="77777777" w:rsidR="00A1419A" w:rsidRDefault="00000000">
            <w:pPr>
              <w:jc w:val="center"/>
              <w:rPr>
                <w:rFonts w:ascii="Calibri" w:eastAsia="Calibri" w:hAnsi="Calibri" w:cs="Calibri"/>
                <w:sz w:val="20"/>
                <w:szCs w:val="20"/>
              </w:rPr>
            </w:pPr>
            <w:r>
              <w:rPr>
                <w:rFonts w:ascii="Palatino Linotype" w:eastAsia="Palatino Linotype" w:hAnsi="Palatino Linotype" w:cs="Palatino Linotype"/>
                <w:sz w:val="20"/>
                <w:szCs w:val="20"/>
              </w:rPr>
              <w:t>18a Sesión Ordinaria.</w:t>
            </w:r>
          </w:p>
        </w:tc>
      </w:tr>
      <w:tr w:rsidR="00A1419A" w14:paraId="61198AE0" w14:textId="77777777">
        <w:trPr>
          <w:trHeight w:val="510"/>
          <w:jc w:val="center"/>
        </w:trPr>
        <w:tc>
          <w:tcPr>
            <w:tcW w:w="4414" w:type="dxa"/>
            <w:vAlign w:val="center"/>
          </w:tcPr>
          <w:p w14:paraId="1698DCC0" w14:textId="77777777" w:rsidR="00A1419A" w:rsidRDefault="00000000">
            <w:pPr>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Viernes 25 de agosto de 2023</w:t>
            </w:r>
          </w:p>
        </w:tc>
        <w:tc>
          <w:tcPr>
            <w:tcW w:w="4414" w:type="dxa"/>
            <w:vAlign w:val="center"/>
          </w:tcPr>
          <w:p w14:paraId="01597CE8" w14:textId="77777777" w:rsidR="00A1419A" w:rsidRDefault="00000000">
            <w:pPr>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19a Sesión Ordinaria.</w:t>
            </w:r>
          </w:p>
        </w:tc>
      </w:tr>
    </w:tbl>
    <w:p w14:paraId="2BF18EDD" w14:textId="77777777" w:rsidR="00A1419A" w:rsidRDefault="00A1419A">
      <w:pPr>
        <w:spacing w:line="360" w:lineRule="auto"/>
        <w:jc w:val="both"/>
        <w:rPr>
          <w:rFonts w:ascii="Palatino Linotype" w:eastAsia="Palatino Linotype" w:hAnsi="Palatino Linotype" w:cs="Palatino Linotype"/>
          <w:sz w:val="22"/>
          <w:szCs w:val="22"/>
        </w:rPr>
      </w:pPr>
    </w:p>
    <w:p w14:paraId="6D029145" w14:textId="77777777" w:rsidR="00A1419A" w:rsidRDefault="00000000">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Posteriormente preguntó a los presentes si existía algún comentario o modificación al mismo. Sin alguna intervención por parte de los presentes, e</w:t>
      </w:r>
      <w:r>
        <w:rPr>
          <w:rFonts w:ascii="Palatino Linotype" w:eastAsia="Palatino Linotype" w:hAnsi="Palatino Linotype" w:cs="Palatino Linotype"/>
          <w:sz w:val="20"/>
          <w:szCs w:val="20"/>
        </w:rPr>
        <w:t xml:space="preserve">l </w:t>
      </w:r>
      <w:r>
        <w:rPr>
          <w:rFonts w:ascii="Palatino Linotype" w:eastAsia="Palatino Linotype" w:hAnsi="Palatino Linotype" w:cs="Palatino Linotype"/>
          <w:sz w:val="22"/>
          <w:szCs w:val="22"/>
        </w:rPr>
        <w:t>Facilitador procedió a solicitar que expresaran su consentimiento para que el calendario fuera aprobado, una vez recabada la votación se tomó el siguiente acuerdo:</w:t>
      </w:r>
    </w:p>
    <w:p w14:paraId="168BEDDE" w14:textId="77777777" w:rsidR="00A1419A" w:rsidRDefault="00A1419A">
      <w:pPr>
        <w:spacing w:line="360" w:lineRule="auto"/>
        <w:jc w:val="both"/>
        <w:rPr>
          <w:rFonts w:ascii="Palatino Linotype" w:eastAsia="Palatino Linotype" w:hAnsi="Palatino Linotype" w:cs="Palatino Linotype"/>
          <w:sz w:val="22"/>
          <w:szCs w:val="22"/>
        </w:rPr>
      </w:pPr>
    </w:p>
    <w:tbl>
      <w:tblPr>
        <w:tblStyle w:val="affd"/>
        <w:tblW w:w="9111" w:type="dxa"/>
        <w:tblInd w:w="-115"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4555"/>
        <w:gridCol w:w="4556"/>
      </w:tblGrid>
      <w:tr w:rsidR="00A1419A" w14:paraId="10FC8C53" w14:textId="77777777">
        <w:tc>
          <w:tcPr>
            <w:tcW w:w="4555" w:type="dxa"/>
            <w:vAlign w:val="center"/>
          </w:tcPr>
          <w:p w14:paraId="11312369" w14:textId="77777777" w:rsidR="00A1419A" w:rsidRDefault="00000000">
            <w:pPr>
              <w:spacing w:line="360" w:lineRule="auto"/>
              <w:ind w:right="49"/>
              <w:jc w:val="center"/>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lastRenderedPageBreak/>
              <w:t>STL/XV/3/2022</w:t>
            </w:r>
          </w:p>
        </w:tc>
        <w:tc>
          <w:tcPr>
            <w:tcW w:w="4556" w:type="dxa"/>
          </w:tcPr>
          <w:p w14:paraId="25282ABE" w14:textId="77777777" w:rsidR="00A1419A" w:rsidRDefault="00000000">
            <w:pPr>
              <w:spacing w:line="360" w:lineRule="auto"/>
              <w:ind w:left="357" w:right="51"/>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Se aprueba por unanimidad de votos el Calendario de sesiones del Secretariado Técnico Local para el año 2023.</w:t>
            </w:r>
          </w:p>
        </w:tc>
      </w:tr>
    </w:tbl>
    <w:p w14:paraId="43A002B3"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6C946FDB" w14:textId="77777777"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IX.-</w:t>
      </w:r>
      <w:r>
        <w:rPr>
          <w:rFonts w:ascii="Palatino Linotype" w:eastAsia="Palatino Linotype" w:hAnsi="Palatino Linotype" w:cs="Palatino Linotype"/>
          <w:sz w:val="22"/>
          <w:szCs w:val="22"/>
        </w:rPr>
        <w:t xml:space="preserve"> En el desarrollo del noveno punto del orden del día, concerniente al Seguimiento de Acuerdos, el Facilitador compartió que se encuentran en registro un acuerdo pendiente alusivos al compromiso de la Secretaría de la Contraloría, por lo que abrió un espacio por si alguno de los presentes deseaba intervenir al respecto. </w:t>
      </w:r>
    </w:p>
    <w:p w14:paraId="159414CE"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6CEEDA35" w14:textId="77777777"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su intervención, Marco Becerril Garcés, enlace Representante del Secretario de la Contraloría, Javier Vargas Zempoatecatl, mencionó que ya se ha tomado nota del ofrecimiento del comisionado Luis Gustavo Parra Noriega, y se les mandará propuesta de fechas para llevar a cabo la Sensibilización solicitada. </w:t>
      </w:r>
    </w:p>
    <w:p w14:paraId="22360603"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0D916427" w14:textId="77777777"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Facilitador agradeció las intervenciones, y sin más comentarios al respecto, prosiguió con el siguiente punto del orden del día.</w:t>
      </w:r>
    </w:p>
    <w:p w14:paraId="1DBBF573"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4EC408FB" w14:textId="77777777"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X.</w:t>
      </w:r>
      <w:r>
        <w:rPr>
          <w:rFonts w:ascii="Palatino Linotype" w:eastAsia="Palatino Linotype" w:hAnsi="Palatino Linotype" w:cs="Palatino Linotype"/>
          <w:sz w:val="22"/>
          <w:szCs w:val="22"/>
        </w:rPr>
        <w:t xml:space="preserve"> En relación con el punto de Asuntos Generales, los Representantes de la Sociedad Civil solicitaron la palabra. </w:t>
      </w:r>
    </w:p>
    <w:p w14:paraId="5199549B"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024FACD5" w14:textId="77777777"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primera instancia, Carlos de la Peña Jiménez O´Farril, Representante Titular de Sociedad Civil, hizo uso de la voz para agradecer a todos los involucrados, y mencionó que el dos mil veintidós fue un gran año, ya que se logró ir de la mano del compromiso de la Secretaría de Justicia y Derechos Humanos que estaba enmarcado en la OGP, y que ahora se trabaja no sólo evaluando qué proceso es mejor, sino de manera complementaria.  </w:t>
      </w:r>
    </w:p>
    <w:p w14:paraId="45A617C8"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0FEB3A8A" w14:textId="5B36D739"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otro lado, también reconoció como un gran logro el hecho de que cualquier ciudadano se </w:t>
      </w:r>
      <w:r>
        <w:rPr>
          <w:rFonts w:ascii="Palatino Linotype" w:eastAsia="Palatino Linotype" w:hAnsi="Palatino Linotype" w:cs="Palatino Linotype"/>
          <w:sz w:val="22"/>
          <w:szCs w:val="22"/>
        </w:rPr>
        <w:lastRenderedPageBreak/>
        <w:t xml:space="preserve">pudiera registrar de manera permanente y abierta en el Secretariado Técnico Local bajo parte </w:t>
      </w:r>
      <w:r w:rsidR="000C762D">
        <w:rPr>
          <w:rFonts w:ascii="Palatino Linotype" w:eastAsia="Palatino Linotype" w:hAnsi="Palatino Linotype" w:cs="Palatino Linotype"/>
          <w:sz w:val="22"/>
          <w:szCs w:val="22"/>
        </w:rPr>
        <w:t>de Sociedad</w:t>
      </w:r>
      <w:r>
        <w:rPr>
          <w:rFonts w:ascii="Palatino Linotype" w:eastAsia="Palatino Linotype" w:hAnsi="Palatino Linotype" w:cs="Palatino Linotype"/>
          <w:sz w:val="22"/>
          <w:szCs w:val="22"/>
        </w:rPr>
        <w:t xml:space="preserve"> Civil. Así mismo, realizó un llamado a la Sociedad Civil a participar en los trabajos y compromisos, además reiteró la importancia de su participación y mencionó que tienen una gran responsabilidad y un gran reto, para poder lograr la construcción de políticas públicas de manera conjunta. </w:t>
      </w:r>
    </w:p>
    <w:p w14:paraId="4E31734F"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5A2179DC" w14:textId="0566FD6D"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Precisó que se necesita construir un mecanismo en el cual no se tengan que cambiar los compromisos cada que acaba un trienio o en sexenio, y para que eso pase la única forma que se ha podido encontrar es con el trabajo en conjunto de un Órgano Garante como el Infoem y OGP, con la sociedad Civil. </w:t>
      </w:r>
    </w:p>
    <w:p w14:paraId="514CD6CB"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0BD91CD7" w14:textId="4B55CE91"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su parte, Enrique Serrano Arenas, Representante Suplente de la Sociedad Civil, coincidió plenamente con lo expresado por su compañero, y comentó que se tendrá en breve una reunión en el núcleo de sociedad civil para la elaboración de un Plan de Trabajo para el año dos mil veintitrés que les permita fortalecerse, para dar respuesta a la expectativa que tiene la ciudadanía. En ese sentido resaltó que su organización acudió a un encuentro con Sociedad Civil, por parte del Consejo de Participación Ciudadana del Sistema Anticorrupción y en uno de los comentarios, realizó una invitación a participar en los Foros Regionales y sumarse a las Declaratorias Conjuntas para la instalación </w:t>
      </w:r>
      <w:r w:rsidR="000C762D">
        <w:rPr>
          <w:rFonts w:ascii="Palatino Linotype" w:eastAsia="Palatino Linotype" w:hAnsi="Palatino Linotype" w:cs="Palatino Linotype"/>
          <w:sz w:val="22"/>
          <w:szCs w:val="22"/>
        </w:rPr>
        <w:t>de Secretariados</w:t>
      </w:r>
      <w:r>
        <w:rPr>
          <w:rFonts w:ascii="Palatino Linotype" w:eastAsia="Palatino Linotype" w:hAnsi="Palatino Linotype" w:cs="Palatino Linotype"/>
          <w:sz w:val="22"/>
          <w:szCs w:val="22"/>
        </w:rPr>
        <w:t xml:space="preserve"> Técnicos Municipales, pero sobre todo impulsar compromisos desde la red ciudadana anticorrupción del Comité de Participación Ciudadana del Estado de México. </w:t>
      </w:r>
    </w:p>
    <w:p w14:paraId="23341795" w14:textId="77777777"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207980CE" w14:textId="77777777"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Agotado el punto y concluyendo las intervenciones, el Facilitador agradeció a los participantes y continuó al siguiente punto del orden del día, siendo la Clausura de la Sesión. </w:t>
      </w:r>
    </w:p>
    <w:p w14:paraId="704F11DC"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246D1983"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08788259"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p w14:paraId="122D35F3" w14:textId="77777777" w:rsidR="00A1419A" w:rsidRDefault="00000000">
      <w:pPr>
        <w:widowControl w:val="0"/>
        <w:spacing w:before="37" w:line="360" w:lineRule="auto"/>
        <w:ind w:right="-92"/>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lastRenderedPageBreak/>
        <w:t>XI</w:t>
      </w:r>
      <w:r>
        <w:rPr>
          <w:rFonts w:ascii="Palatino Linotype" w:eastAsia="Palatino Linotype" w:hAnsi="Palatino Linotype" w:cs="Palatino Linotype"/>
          <w:sz w:val="22"/>
          <w:szCs w:val="22"/>
        </w:rPr>
        <w:t xml:space="preserve">.- No habiendo más puntos que tratar, siendo las doce horas con cuarenta minutos del día 16 de diciembre de 2022, el Facilitador Horacio Rodríguez Jiménez, dio por terminada la Décimo Quinta Sesión Ordinaria del Secretario Técnico Local para el Ejercicio de Gobierno Abierto en el Estado de México. </w:t>
      </w:r>
    </w:p>
    <w:p w14:paraId="6B7B65CB" w14:textId="77777777" w:rsidR="00A1419A" w:rsidRDefault="00A1419A">
      <w:pPr>
        <w:widowControl w:val="0"/>
        <w:spacing w:before="37" w:line="360" w:lineRule="auto"/>
        <w:ind w:right="-92"/>
        <w:jc w:val="both"/>
        <w:rPr>
          <w:rFonts w:ascii="Palatino Linotype" w:eastAsia="Palatino Linotype" w:hAnsi="Palatino Linotype" w:cs="Palatino Linotype"/>
          <w:sz w:val="22"/>
          <w:szCs w:val="22"/>
        </w:rPr>
      </w:pPr>
    </w:p>
    <w:tbl>
      <w:tblPr>
        <w:tblStyle w:val="affe"/>
        <w:tblW w:w="9727" w:type="dxa"/>
        <w:jc w:val="center"/>
        <w:tblInd w:w="0" w:type="dxa"/>
        <w:tblLayout w:type="fixed"/>
        <w:tblLook w:val="0400" w:firstRow="0" w:lastRow="0" w:firstColumn="0" w:lastColumn="0" w:noHBand="0" w:noVBand="1"/>
      </w:tblPr>
      <w:tblGrid>
        <w:gridCol w:w="4854"/>
        <w:gridCol w:w="4873"/>
      </w:tblGrid>
      <w:tr w:rsidR="00A1419A" w14:paraId="2275D69D" w14:textId="77777777">
        <w:trPr>
          <w:trHeight w:val="2952"/>
          <w:jc w:val="center"/>
        </w:trPr>
        <w:tc>
          <w:tcPr>
            <w:tcW w:w="4854" w:type="dxa"/>
          </w:tcPr>
          <w:p w14:paraId="77FD17A0" w14:textId="77777777" w:rsidR="00A1419A" w:rsidRDefault="00A1419A">
            <w:pPr>
              <w:spacing w:line="360" w:lineRule="auto"/>
              <w:jc w:val="center"/>
              <w:rPr>
                <w:rFonts w:ascii="Palatino Linotype" w:eastAsia="Palatino Linotype" w:hAnsi="Palatino Linotype" w:cs="Palatino Linotype"/>
                <w:b/>
                <w:sz w:val="20"/>
                <w:szCs w:val="20"/>
              </w:rPr>
            </w:pPr>
          </w:p>
          <w:p w14:paraId="43805122" w14:textId="77777777" w:rsidR="00A1419A" w:rsidRDefault="00A1419A">
            <w:pPr>
              <w:spacing w:line="360" w:lineRule="auto"/>
              <w:jc w:val="center"/>
              <w:rPr>
                <w:rFonts w:ascii="Palatino Linotype" w:eastAsia="Palatino Linotype" w:hAnsi="Palatino Linotype" w:cs="Palatino Linotype"/>
                <w:b/>
                <w:sz w:val="20"/>
                <w:szCs w:val="20"/>
              </w:rPr>
            </w:pPr>
          </w:p>
          <w:p w14:paraId="2CB55082" w14:textId="20DB303C" w:rsidR="00A1419A" w:rsidRDefault="00287B36">
            <w:pPr>
              <w:spacing w:line="36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(RÚBRICA)</w:t>
            </w:r>
          </w:p>
          <w:p w14:paraId="42DE45D2" w14:textId="77777777" w:rsidR="00A1419A" w:rsidRDefault="00000000">
            <w:pPr>
              <w:spacing w:line="36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JOSÉ MARTÍNEZ VILCHIS</w:t>
            </w:r>
          </w:p>
          <w:p w14:paraId="642964C6" w14:textId="77777777" w:rsidR="00A1419A" w:rsidRDefault="00000000">
            <w:pPr>
              <w:spacing w:line="36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 COMISIONADO PRESIDENTE DEL INFOEM Y REPRESENTANTE TITULAR DEL ÓRGANO GARANTE</w:t>
            </w:r>
          </w:p>
          <w:p w14:paraId="230BF7D1" w14:textId="77777777" w:rsidR="00A1419A" w:rsidRDefault="00A1419A">
            <w:pPr>
              <w:spacing w:line="360" w:lineRule="auto"/>
              <w:jc w:val="center"/>
              <w:rPr>
                <w:rFonts w:ascii="Palatino Linotype" w:eastAsia="Palatino Linotype" w:hAnsi="Palatino Linotype" w:cs="Palatino Linotype"/>
                <w:b/>
                <w:sz w:val="20"/>
                <w:szCs w:val="20"/>
              </w:rPr>
            </w:pPr>
          </w:p>
          <w:p w14:paraId="1D2ED862" w14:textId="77777777" w:rsidR="00A1419A" w:rsidRDefault="00A1419A">
            <w:pPr>
              <w:spacing w:line="360" w:lineRule="auto"/>
              <w:jc w:val="center"/>
              <w:rPr>
                <w:rFonts w:ascii="Palatino Linotype" w:eastAsia="Palatino Linotype" w:hAnsi="Palatino Linotype" w:cs="Palatino Linotype"/>
                <w:b/>
                <w:sz w:val="20"/>
                <w:szCs w:val="20"/>
              </w:rPr>
            </w:pPr>
          </w:p>
          <w:p w14:paraId="292FD7B5" w14:textId="77777777" w:rsidR="00A1419A" w:rsidRDefault="00A1419A">
            <w:pPr>
              <w:spacing w:line="360" w:lineRule="auto"/>
              <w:jc w:val="center"/>
              <w:rPr>
                <w:rFonts w:ascii="Palatino Linotype" w:eastAsia="Palatino Linotype" w:hAnsi="Palatino Linotype" w:cs="Palatino Linotype"/>
                <w:b/>
                <w:sz w:val="20"/>
                <w:szCs w:val="20"/>
              </w:rPr>
            </w:pPr>
          </w:p>
          <w:p w14:paraId="2B7305C2" w14:textId="77777777" w:rsidR="00A1419A" w:rsidRDefault="00A1419A">
            <w:pPr>
              <w:spacing w:line="360" w:lineRule="auto"/>
              <w:jc w:val="center"/>
              <w:rPr>
                <w:rFonts w:ascii="Palatino Linotype" w:eastAsia="Palatino Linotype" w:hAnsi="Palatino Linotype" w:cs="Palatino Linotype"/>
                <w:b/>
                <w:sz w:val="20"/>
                <w:szCs w:val="20"/>
              </w:rPr>
            </w:pPr>
          </w:p>
          <w:p w14:paraId="6B3B2CF1" w14:textId="77777777" w:rsidR="00287B36" w:rsidRDefault="00287B36" w:rsidP="00287B36">
            <w:pPr>
              <w:spacing w:line="36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(RÚBRICA)</w:t>
            </w:r>
          </w:p>
          <w:p w14:paraId="745609DD" w14:textId="77777777" w:rsidR="00A1419A" w:rsidRDefault="00000000">
            <w:pPr>
              <w:spacing w:line="36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JOSÉ EDGAR MARÍN PÉREZ</w:t>
            </w:r>
          </w:p>
          <w:p w14:paraId="23C55A80" w14:textId="77777777" w:rsidR="00A1419A" w:rsidRDefault="00000000">
            <w:pPr>
              <w:spacing w:line="36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TITULAR DE LA UNIDAD DE TRANSPARENCIA EN REPRESENTACIÓN DEL</w:t>
            </w:r>
          </w:p>
          <w:p w14:paraId="652D93AD" w14:textId="77777777" w:rsidR="00A1419A" w:rsidRDefault="00000000">
            <w:pPr>
              <w:spacing w:line="36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TRIBUNAL SUPERIOR DE </w:t>
            </w:r>
          </w:p>
          <w:p w14:paraId="20873003" w14:textId="77777777" w:rsidR="00A1419A" w:rsidRDefault="00000000">
            <w:pPr>
              <w:spacing w:line="36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JUSTICIA DEL ESTADO DE MÉXICO</w:t>
            </w:r>
          </w:p>
          <w:p w14:paraId="7D49A699" w14:textId="77777777" w:rsidR="00A1419A" w:rsidRDefault="00A1419A">
            <w:pPr>
              <w:spacing w:line="360" w:lineRule="auto"/>
              <w:jc w:val="center"/>
              <w:rPr>
                <w:rFonts w:ascii="Palatino Linotype" w:eastAsia="Palatino Linotype" w:hAnsi="Palatino Linotype" w:cs="Palatino Linotype"/>
                <w:b/>
                <w:sz w:val="20"/>
                <w:szCs w:val="20"/>
              </w:rPr>
            </w:pPr>
          </w:p>
          <w:p w14:paraId="0D892EAD" w14:textId="77777777" w:rsidR="00A1419A" w:rsidRDefault="00A1419A">
            <w:pPr>
              <w:spacing w:line="360" w:lineRule="auto"/>
              <w:jc w:val="center"/>
              <w:rPr>
                <w:rFonts w:ascii="Palatino Linotype" w:eastAsia="Palatino Linotype" w:hAnsi="Palatino Linotype" w:cs="Palatino Linotype"/>
                <w:b/>
                <w:sz w:val="20"/>
                <w:szCs w:val="20"/>
              </w:rPr>
            </w:pPr>
          </w:p>
          <w:p w14:paraId="76D73CAF" w14:textId="77777777" w:rsidR="00287B36" w:rsidRDefault="00287B36" w:rsidP="00287B36">
            <w:pPr>
              <w:spacing w:line="36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(RÚBRICA)</w:t>
            </w:r>
          </w:p>
          <w:p w14:paraId="6D8C7FD2" w14:textId="77777777" w:rsidR="00A1419A" w:rsidRDefault="00000000">
            <w:pPr>
              <w:spacing w:line="36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MARCO ANTONIO BECERRIL GARCÉS</w:t>
            </w:r>
          </w:p>
          <w:p w14:paraId="42109B0B" w14:textId="77777777" w:rsidR="00A1419A" w:rsidRDefault="00000000">
            <w:pPr>
              <w:spacing w:line="36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 JEFE DE LA UNIDAD DE PREVENCIÓN DE LA CORRUPCIÓN DE LA SECRETARÍA DE LA CONTRALORÍA DEL ESTADO DE MÉXICO</w:t>
            </w:r>
          </w:p>
          <w:p w14:paraId="1218C34D" w14:textId="77777777" w:rsidR="00A1419A" w:rsidRDefault="00A1419A">
            <w:pPr>
              <w:spacing w:line="360" w:lineRule="auto"/>
              <w:jc w:val="center"/>
              <w:rPr>
                <w:rFonts w:ascii="Palatino Linotype" w:eastAsia="Palatino Linotype" w:hAnsi="Palatino Linotype" w:cs="Palatino Linotype"/>
                <w:b/>
                <w:sz w:val="20"/>
                <w:szCs w:val="20"/>
              </w:rPr>
            </w:pPr>
          </w:p>
        </w:tc>
        <w:tc>
          <w:tcPr>
            <w:tcW w:w="4873" w:type="dxa"/>
          </w:tcPr>
          <w:p w14:paraId="5B090D54" w14:textId="77777777" w:rsidR="00A1419A" w:rsidRDefault="00A1419A">
            <w:pPr>
              <w:spacing w:line="360" w:lineRule="auto"/>
              <w:jc w:val="center"/>
              <w:rPr>
                <w:rFonts w:ascii="Palatino Linotype" w:eastAsia="Palatino Linotype" w:hAnsi="Palatino Linotype" w:cs="Palatino Linotype"/>
                <w:b/>
                <w:sz w:val="20"/>
                <w:szCs w:val="20"/>
              </w:rPr>
            </w:pPr>
          </w:p>
          <w:p w14:paraId="05513DBD" w14:textId="77777777" w:rsidR="00A1419A" w:rsidRDefault="00A1419A">
            <w:pPr>
              <w:spacing w:line="360" w:lineRule="auto"/>
              <w:jc w:val="center"/>
              <w:rPr>
                <w:rFonts w:ascii="Palatino Linotype" w:eastAsia="Palatino Linotype" w:hAnsi="Palatino Linotype" w:cs="Palatino Linotype"/>
                <w:b/>
                <w:sz w:val="20"/>
                <w:szCs w:val="20"/>
              </w:rPr>
            </w:pPr>
          </w:p>
          <w:p w14:paraId="03478EBA" w14:textId="77777777" w:rsidR="00287B36" w:rsidRDefault="00287B36" w:rsidP="00287B36">
            <w:pPr>
              <w:spacing w:line="36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(RÚBRICA)</w:t>
            </w:r>
          </w:p>
          <w:p w14:paraId="3ACBB696" w14:textId="77777777" w:rsidR="00A1419A" w:rsidRDefault="00000000">
            <w:pPr>
              <w:spacing w:line="36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LUIS GUSTAVO PARRA NORIEGA COMISIONADO DEL INFOEM Y REPRESENTANTE SUPLENTE DEL ÓRGANO GARANTE</w:t>
            </w:r>
          </w:p>
          <w:p w14:paraId="34285988" w14:textId="77777777" w:rsidR="00A1419A" w:rsidRDefault="00A1419A">
            <w:pPr>
              <w:spacing w:line="360" w:lineRule="auto"/>
              <w:jc w:val="center"/>
              <w:rPr>
                <w:rFonts w:ascii="Palatino Linotype" w:eastAsia="Palatino Linotype" w:hAnsi="Palatino Linotype" w:cs="Palatino Linotype"/>
                <w:b/>
                <w:sz w:val="20"/>
                <w:szCs w:val="20"/>
              </w:rPr>
            </w:pPr>
          </w:p>
          <w:p w14:paraId="0AFF835C" w14:textId="77777777" w:rsidR="00A1419A" w:rsidRDefault="00A1419A">
            <w:pPr>
              <w:spacing w:line="360" w:lineRule="auto"/>
              <w:jc w:val="center"/>
              <w:rPr>
                <w:rFonts w:ascii="Palatino Linotype" w:eastAsia="Palatino Linotype" w:hAnsi="Palatino Linotype" w:cs="Palatino Linotype"/>
                <w:b/>
                <w:sz w:val="20"/>
                <w:szCs w:val="20"/>
              </w:rPr>
            </w:pPr>
          </w:p>
          <w:p w14:paraId="075F28CE" w14:textId="77777777" w:rsidR="00A1419A" w:rsidRDefault="00A1419A">
            <w:pPr>
              <w:spacing w:line="360" w:lineRule="auto"/>
              <w:jc w:val="center"/>
              <w:rPr>
                <w:rFonts w:ascii="Palatino Linotype" w:eastAsia="Palatino Linotype" w:hAnsi="Palatino Linotype" w:cs="Palatino Linotype"/>
                <w:b/>
                <w:sz w:val="20"/>
                <w:szCs w:val="20"/>
              </w:rPr>
            </w:pPr>
          </w:p>
          <w:p w14:paraId="68AD2C24" w14:textId="77777777" w:rsidR="00A1419A" w:rsidRDefault="00A1419A">
            <w:pPr>
              <w:spacing w:line="360" w:lineRule="auto"/>
              <w:jc w:val="center"/>
              <w:rPr>
                <w:rFonts w:ascii="Palatino Linotype" w:eastAsia="Palatino Linotype" w:hAnsi="Palatino Linotype" w:cs="Palatino Linotype"/>
                <w:b/>
                <w:sz w:val="20"/>
                <w:szCs w:val="20"/>
              </w:rPr>
            </w:pPr>
          </w:p>
          <w:p w14:paraId="5837FC4F" w14:textId="77777777" w:rsidR="00287B36" w:rsidRDefault="00287B36" w:rsidP="00287B36">
            <w:pPr>
              <w:spacing w:line="36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(RÚBRICA)</w:t>
            </w:r>
          </w:p>
          <w:p w14:paraId="0951B7AB" w14:textId="77777777" w:rsidR="00A1419A" w:rsidRDefault="00000000">
            <w:pPr>
              <w:spacing w:line="36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LILIBETH ÁLVAREZ RODRÍGUEZ</w:t>
            </w:r>
          </w:p>
          <w:p w14:paraId="1EFFCF6C" w14:textId="77777777" w:rsidR="00A1419A" w:rsidRDefault="00000000">
            <w:pPr>
              <w:spacing w:line="36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 TITULAR DE LA UNIDAD DE TRANSPARENCIA DEL IEEM</w:t>
            </w:r>
          </w:p>
          <w:p w14:paraId="56C533D5" w14:textId="77777777" w:rsidR="00A1419A" w:rsidRDefault="00A1419A">
            <w:pPr>
              <w:spacing w:line="360" w:lineRule="auto"/>
              <w:jc w:val="center"/>
              <w:rPr>
                <w:rFonts w:ascii="Palatino Linotype" w:eastAsia="Palatino Linotype" w:hAnsi="Palatino Linotype" w:cs="Palatino Linotype"/>
                <w:b/>
                <w:sz w:val="20"/>
                <w:szCs w:val="20"/>
              </w:rPr>
            </w:pPr>
          </w:p>
          <w:p w14:paraId="666244CC" w14:textId="77777777" w:rsidR="00A1419A" w:rsidRDefault="00A1419A">
            <w:pPr>
              <w:spacing w:line="360" w:lineRule="auto"/>
              <w:jc w:val="center"/>
              <w:rPr>
                <w:rFonts w:ascii="Palatino Linotype" w:eastAsia="Palatino Linotype" w:hAnsi="Palatino Linotype" w:cs="Palatino Linotype"/>
                <w:b/>
                <w:sz w:val="20"/>
                <w:szCs w:val="20"/>
              </w:rPr>
            </w:pPr>
          </w:p>
          <w:p w14:paraId="62F63ED1" w14:textId="77777777" w:rsidR="00A1419A" w:rsidRDefault="00A1419A">
            <w:pPr>
              <w:spacing w:line="360" w:lineRule="auto"/>
              <w:jc w:val="center"/>
              <w:rPr>
                <w:rFonts w:ascii="Palatino Linotype" w:eastAsia="Palatino Linotype" w:hAnsi="Palatino Linotype" w:cs="Palatino Linotype"/>
                <w:b/>
                <w:sz w:val="20"/>
                <w:szCs w:val="20"/>
              </w:rPr>
            </w:pPr>
          </w:p>
          <w:p w14:paraId="1BD4C9AB" w14:textId="77777777" w:rsidR="00A1419A" w:rsidRDefault="00A1419A">
            <w:pPr>
              <w:spacing w:line="360" w:lineRule="auto"/>
              <w:jc w:val="center"/>
              <w:rPr>
                <w:rFonts w:ascii="Palatino Linotype" w:eastAsia="Palatino Linotype" w:hAnsi="Palatino Linotype" w:cs="Palatino Linotype"/>
                <w:b/>
                <w:sz w:val="20"/>
                <w:szCs w:val="20"/>
              </w:rPr>
            </w:pPr>
          </w:p>
          <w:p w14:paraId="3A400B8C" w14:textId="77777777" w:rsidR="00287B36" w:rsidRDefault="00287B36" w:rsidP="00287B36">
            <w:pPr>
              <w:spacing w:line="36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(RÚBRICA)</w:t>
            </w:r>
          </w:p>
          <w:p w14:paraId="160BC6E4" w14:textId="77777777" w:rsidR="00A1419A" w:rsidRDefault="00000000">
            <w:pPr>
              <w:spacing w:line="36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CARLOS DE LA PEÑA JIMÉNEZ O´FARRIL</w:t>
            </w:r>
          </w:p>
          <w:p w14:paraId="5CD9C51C" w14:textId="77777777" w:rsidR="00A1419A" w:rsidRDefault="00000000">
            <w:pPr>
              <w:spacing w:line="36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REPRESENTANTE TITULAR DE LA SOCIEDAD CIVIL</w:t>
            </w:r>
          </w:p>
          <w:p w14:paraId="296BAA6D" w14:textId="77777777" w:rsidR="00A1419A" w:rsidRDefault="00A1419A">
            <w:pPr>
              <w:spacing w:line="360" w:lineRule="auto"/>
              <w:jc w:val="center"/>
              <w:rPr>
                <w:rFonts w:ascii="Palatino Linotype" w:eastAsia="Palatino Linotype" w:hAnsi="Palatino Linotype" w:cs="Palatino Linotype"/>
                <w:b/>
                <w:sz w:val="20"/>
                <w:szCs w:val="20"/>
              </w:rPr>
            </w:pPr>
          </w:p>
        </w:tc>
      </w:tr>
      <w:tr w:rsidR="00A1419A" w14:paraId="16DBC671" w14:textId="77777777">
        <w:trPr>
          <w:trHeight w:val="1455"/>
          <w:jc w:val="center"/>
        </w:trPr>
        <w:tc>
          <w:tcPr>
            <w:tcW w:w="4854" w:type="dxa"/>
          </w:tcPr>
          <w:p w14:paraId="1DB715A9" w14:textId="77777777" w:rsidR="00A1419A" w:rsidRDefault="00A1419A">
            <w:pPr>
              <w:spacing w:line="360" w:lineRule="auto"/>
              <w:rPr>
                <w:rFonts w:ascii="Palatino Linotype" w:eastAsia="Palatino Linotype" w:hAnsi="Palatino Linotype" w:cs="Palatino Linotype"/>
                <w:b/>
                <w:sz w:val="20"/>
                <w:szCs w:val="20"/>
              </w:rPr>
            </w:pPr>
          </w:p>
          <w:p w14:paraId="4607CB02" w14:textId="77777777" w:rsidR="00287B36" w:rsidRDefault="00287B36" w:rsidP="00287B36">
            <w:pPr>
              <w:spacing w:line="36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(RÚBRICA)</w:t>
            </w:r>
          </w:p>
          <w:p w14:paraId="49B24A32" w14:textId="77777777" w:rsidR="00A1419A" w:rsidRDefault="00000000">
            <w:pPr>
              <w:spacing w:line="36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ENRIQUE SERRANO ARENAS</w:t>
            </w:r>
          </w:p>
          <w:p w14:paraId="57D54D09" w14:textId="77777777" w:rsidR="00A1419A" w:rsidRDefault="00000000">
            <w:pPr>
              <w:spacing w:line="36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REPRESENTANTE SUPLENTE DE LA SOCIEDAD CIVIL</w:t>
            </w:r>
          </w:p>
          <w:p w14:paraId="2CF92930" w14:textId="77777777" w:rsidR="00A1419A" w:rsidRDefault="00A1419A">
            <w:pPr>
              <w:spacing w:line="360" w:lineRule="auto"/>
              <w:jc w:val="center"/>
              <w:rPr>
                <w:rFonts w:ascii="Palatino Linotype" w:eastAsia="Palatino Linotype" w:hAnsi="Palatino Linotype" w:cs="Palatino Linotype"/>
                <w:b/>
                <w:sz w:val="20"/>
                <w:szCs w:val="20"/>
              </w:rPr>
            </w:pPr>
          </w:p>
        </w:tc>
        <w:tc>
          <w:tcPr>
            <w:tcW w:w="4873" w:type="dxa"/>
          </w:tcPr>
          <w:p w14:paraId="6DADE4E3" w14:textId="77777777" w:rsidR="00A1419A" w:rsidRDefault="00A1419A">
            <w:pPr>
              <w:spacing w:line="360" w:lineRule="auto"/>
              <w:jc w:val="center"/>
              <w:rPr>
                <w:rFonts w:ascii="Palatino Linotype" w:eastAsia="Palatino Linotype" w:hAnsi="Palatino Linotype" w:cs="Palatino Linotype"/>
                <w:b/>
                <w:sz w:val="20"/>
                <w:szCs w:val="20"/>
              </w:rPr>
            </w:pPr>
          </w:p>
          <w:p w14:paraId="3403DAB4" w14:textId="77777777" w:rsidR="00287B36" w:rsidRDefault="00287B36" w:rsidP="00287B36">
            <w:pPr>
              <w:spacing w:line="36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(RÚBRICA)</w:t>
            </w:r>
          </w:p>
          <w:p w14:paraId="0BF4C064" w14:textId="77777777" w:rsidR="00A1419A" w:rsidRDefault="00000000">
            <w:pPr>
              <w:spacing w:line="36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HORACIO RODRÍGUEZ JIMÉNEZ</w:t>
            </w:r>
          </w:p>
          <w:p w14:paraId="478585E8" w14:textId="77777777" w:rsidR="00A1419A" w:rsidRDefault="00000000">
            <w:pPr>
              <w:spacing w:line="36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FACILITADOR TITULAR DEL SECRETARIADO TÉCNICO LOCAL</w:t>
            </w:r>
          </w:p>
          <w:p w14:paraId="686EFD5B" w14:textId="77777777" w:rsidR="00A1419A" w:rsidRDefault="00A1419A">
            <w:pPr>
              <w:spacing w:line="360" w:lineRule="auto"/>
              <w:jc w:val="center"/>
              <w:rPr>
                <w:rFonts w:ascii="Palatino Linotype" w:eastAsia="Palatino Linotype" w:hAnsi="Palatino Linotype" w:cs="Palatino Linotype"/>
                <w:b/>
                <w:sz w:val="20"/>
                <w:szCs w:val="20"/>
              </w:rPr>
            </w:pPr>
          </w:p>
          <w:p w14:paraId="04FA715E" w14:textId="77777777" w:rsidR="00A1419A" w:rsidRDefault="00A1419A">
            <w:pPr>
              <w:spacing w:line="360" w:lineRule="auto"/>
              <w:jc w:val="center"/>
              <w:rPr>
                <w:rFonts w:ascii="Palatino Linotype" w:eastAsia="Palatino Linotype" w:hAnsi="Palatino Linotype" w:cs="Palatino Linotype"/>
                <w:b/>
                <w:sz w:val="20"/>
                <w:szCs w:val="20"/>
              </w:rPr>
            </w:pPr>
          </w:p>
        </w:tc>
      </w:tr>
    </w:tbl>
    <w:p w14:paraId="0858A5BC" w14:textId="77777777" w:rsidR="00A1419A" w:rsidRDefault="00000000">
      <w:pPr>
        <w:spacing w:before="240" w:after="240" w:line="36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18"/>
          <w:szCs w:val="18"/>
        </w:rPr>
        <w:t>Esta página pertenece al Acta de la Décimo Quinta Sesión Ordinaria del Secretariado Técnico Local, celebrada el 16 de diciembre de 2022.</w:t>
      </w:r>
    </w:p>
    <w:sectPr w:rsidR="00A1419A">
      <w:headerReference w:type="default" r:id="rId8"/>
      <w:footerReference w:type="default" r:id="rId9"/>
      <w:pgSz w:w="12240" w:h="15840"/>
      <w:pgMar w:top="1728" w:right="1701" w:bottom="1701" w:left="1418" w:header="426"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6655F" w14:textId="77777777" w:rsidR="00BB6E40" w:rsidRDefault="00BB6E40">
      <w:r>
        <w:separator/>
      </w:r>
    </w:p>
  </w:endnote>
  <w:endnote w:type="continuationSeparator" w:id="0">
    <w:p w14:paraId="037E0D6B" w14:textId="77777777" w:rsidR="00BB6E40" w:rsidRDefault="00BB6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15CF5" w14:textId="77777777" w:rsidR="00A1419A" w:rsidRDefault="0000000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A6A6A6"/>
      </w:rPr>
    </w:pPr>
    <w:r>
      <w:rPr>
        <w:rFonts w:ascii="Palatino Linotype" w:eastAsia="Palatino Linotype" w:hAnsi="Palatino Linotype" w:cs="Palatino Linotype"/>
        <w:color w:val="A6A6A6"/>
      </w:rPr>
      <w:t xml:space="preserve">Página </w:t>
    </w:r>
    <w:r>
      <w:rPr>
        <w:rFonts w:ascii="Palatino Linotype" w:eastAsia="Palatino Linotype" w:hAnsi="Palatino Linotype" w:cs="Palatino Linotype"/>
        <w:color w:val="A6A6A6"/>
      </w:rPr>
      <w:fldChar w:fldCharType="begin"/>
    </w:r>
    <w:r>
      <w:rPr>
        <w:rFonts w:ascii="Palatino Linotype" w:eastAsia="Palatino Linotype" w:hAnsi="Palatino Linotype" w:cs="Palatino Linotype"/>
        <w:color w:val="A6A6A6"/>
      </w:rPr>
      <w:instrText>PAGE</w:instrText>
    </w:r>
    <w:r>
      <w:rPr>
        <w:rFonts w:ascii="Palatino Linotype" w:eastAsia="Palatino Linotype" w:hAnsi="Palatino Linotype" w:cs="Palatino Linotype"/>
        <w:color w:val="A6A6A6"/>
      </w:rPr>
      <w:fldChar w:fldCharType="separate"/>
    </w:r>
    <w:r w:rsidR="000C762D">
      <w:rPr>
        <w:rFonts w:ascii="Palatino Linotype" w:eastAsia="Palatino Linotype" w:hAnsi="Palatino Linotype" w:cs="Palatino Linotype"/>
        <w:noProof/>
        <w:color w:val="A6A6A6"/>
      </w:rPr>
      <w:t>1</w:t>
    </w:r>
    <w:r>
      <w:rPr>
        <w:rFonts w:ascii="Palatino Linotype" w:eastAsia="Palatino Linotype" w:hAnsi="Palatino Linotype" w:cs="Palatino Linotype"/>
        <w:color w:val="A6A6A6"/>
      </w:rPr>
      <w:fldChar w:fldCharType="end"/>
    </w:r>
    <w:r>
      <w:rPr>
        <w:rFonts w:ascii="Palatino Linotype" w:eastAsia="Palatino Linotype" w:hAnsi="Palatino Linotype" w:cs="Palatino Linotype"/>
        <w:color w:val="A6A6A6"/>
      </w:rPr>
      <w:t xml:space="preserve"> de </w:t>
    </w:r>
    <w:r>
      <w:rPr>
        <w:rFonts w:ascii="Palatino Linotype" w:eastAsia="Palatino Linotype" w:hAnsi="Palatino Linotype" w:cs="Palatino Linotype"/>
        <w:color w:val="A6A6A6"/>
      </w:rPr>
      <w:fldChar w:fldCharType="begin"/>
    </w:r>
    <w:r>
      <w:rPr>
        <w:rFonts w:ascii="Palatino Linotype" w:eastAsia="Palatino Linotype" w:hAnsi="Palatino Linotype" w:cs="Palatino Linotype"/>
        <w:color w:val="A6A6A6"/>
      </w:rPr>
      <w:instrText>NUMPAGES</w:instrText>
    </w:r>
    <w:r>
      <w:rPr>
        <w:rFonts w:ascii="Palatino Linotype" w:eastAsia="Palatino Linotype" w:hAnsi="Palatino Linotype" w:cs="Palatino Linotype"/>
        <w:color w:val="A6A6A6"/>
      </w:rPr>
      <w:fldChar w:fldCharType="separate"/>
    </w:r>
    <w:r w:rsidR="000C762D">
      <w:rPr>
        <w:rFonts w:ascii="Palatino Linotype" w:eastAsia="Palatino Linotype" w:hAnsi="Palatino Linotype" w:cs="Palatino Linotype"/>
        <w:noProof/>
        <w:color w:val="A6A6A6"/>
      </w:rPr>
      <w:t>2</w:t>
    </w:r>
    <w:r>
      <w:rPr>
        <w:rFonts w:ascii="Palatino Linotype" w:eastAsia="Palatino Linotype" w:hAnsi="Palatino Linotype" w:cs="Palatino Linotype"/>
        <w:color w:val="A6A6A6"/>
      </w:rPr>
      <w:fldChar w:fldCharType="end"/>
    </w:r>
  </w:p>
  <w:p w14:paraId="3F67CB6E" w14:textId="77777777" w:rsidR="00A1419A" w:rsidRDefault="00A1419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C03BE" w14:textId="77777777" w:rsidR="00BB6E40" w:rsidRDefault="00BB6E40">
      <w:r>
        <w:separator/>
      </w:r>
    </w:p>
  </w:footnote>
  <w:footnote w:type="continuationSeparator" w:id="0">
    <w:p w14:paraId="237A6807" w14:textId="77777777" w:rsidR="00BB6E40" w:rsidRDefault="00BB6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51923" w14:textId="77777777" w:rsidR="00A1419A" w:rsidRDefault="00000000">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rPr>
    </w:pPr>
    <w:r>
      <w:rPr>
        <w:noProof/>
      </w:rPr>
      <w:drawing>
        <wp:anchor distT="0" distB="0" distL="0" distR="0" simplePos="0" relativeHeight="251658240" behindDoc="1" locked="0" layoutInCell="1" hidden="0" allowOverlap="1" wp14:anchorId="17AEBE08" wp14:editId="25BD0423">
          <wp:simplePos x="0" y="0"/>
          <wp:positionH relativeFrom="column">
            <wp:posOffset>1</wp:posOffset>
          </wp:positionH>
          <wp:positionV relativeFrom="paragraph">
            <wp:posOffset>-47617</wp:posOffset>
          </wp:positionV>
          <wp:extent cx="2085658" cy="640409"/>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85658" cy="640409"/>
                  </a:xfrm>
                  <a:prstGeom prst="rect">
                    <a:avLst/>
                  </a:prstGeom>
                  <a:ln/>
                </pic:spPr>
              </pic:pic>
            </a:graphicData>
          </a:graphic>
        </wp:anchor>
      </w:drawing>
    </w:r>
  </w:p>
  <w:p w14:paraId="01121C06" w14:textId="77777777" w:rsidR="00A1419A" w:rsidRDefault="00000000">
    <w:pPr>
      <w:pBdr>
        <w:top w:val="nil"/>
        <w:left w:val="nil"/>
        <w:bottom w:val="nil"/>
        <w:right w:val="nil"/>
        <w:between w:val="nil"/>
      </w:pBdr>
      <w:tabs>
        <w:tab w:val="center" w:pos="4252"/>
        <w:tab w:val="right" w:pos="8504"/>
        <w:tab w:val="left" w:pos="2326"/>
      </w:tabs>
      <w:jc w:val="right"/>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18"/>
        <w:szCs w:val="18"/>
      </w:rPr>
      <w:t xml:space="preserve">                                                                                                   ACTA DE LA </w:t>
    </w:r>
    <w:r>
      <w:rPr>
        <w:rFonts w:ascii="Palatino Linotype" w:eastAsia="Palatino Linotype" w:hAnsi="Palatino Linotype" w:cs="Palatino Linotype"/>
        <w:b/>
        <w:sz w:val="18"/>
        <w:szCs w:val="18"/>
      </w:rPr>
      <w:t xml:space="preserve">DÉCIMO QUINTA </w:t>
    </w:r>
    <w:r>
      <w:rPr>
        <w:rFonts w:ascii="Palatino Linotype" w:eastAsia="Palatino Linotype" w:hAnsi="Palatino Linotype" w:cs="Palatino Linotype"/>
        <w:b/>
        <w:color w:val="000000"/>
        <w:sz w:val="18"/>
        <w:szCs w:val="18"/>
      </w:rPr>
      <w:t>SESIÓN ORDINARIA DEL SECRETARIADO TÉCNICO LOCAL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FE53EF"/>
    <w:multiLevelType w:val="multilevel"/>
    <w:tmpl w:val="73786428"/>
    <w:lvl w:ilvl="0">
      <w:start w:val="1"/>
      <w:numFmt w:val="upperRoman"/>
      <w:lvlText w:val="%1."/>
      <w:lvlJc w:val="right"/>
      <w:pPr>
        <w:ind w:left="1440" w:hanging="1014"/>
      </w:pPr>
      <w:rPr>
        <w:b/>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614634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19A"/>
    <w:rsid w:val="000C762D"/>
    <w:rsid w:val="00287B36"/>
    <w:rsid w:val="00A1419A"/>
    <w:rsid w:val="00BB6E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D9F29"/>
  <w15:docId w15:val="{B4513264-6FB9-4F25-B4FF-0AD9721B8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0F3"/>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466358"/>
    <w:pPr>
      <w:tabs>
        <w:tab w:val="center" w:pos="4252"/>
        <w:tab w:val="right" w:pos="8504"/>
      </w:tabs>
    </w:pPr>
    <w:rPr>
      <w:rFonts w:asciiTheme="minorHAnsi" w:eastAsiaTheme="minorEastAsia" w:hAnsiTheme="minorHAnsi" w:cstheme="minorBidi"/>
    </w:rPr>
  </w:style>
  <w:style w:type="character" w:customStyle="1" w:styleId="EncabezadoCar">
    <w:name w:val="Encabezado Car"/>
    <w:basedOn w:val="Fuentedeprrafopredeter"/>
    <w:link w:val="Encabezado"/>
    <w:uiPriority w:val="99"/>
    <w:rsid w:val="00466358"/>
    <w:rPr>
      <w:rFonts w:eastAsiaTheme="minorEastAsia"/>
      <w:sz w:val="24"/>
      <w:szCs w:val="24"/>
      <w:lang w:val="es-ES_tradnl" w:eastAsia="es-ES"/>
    </w:rPr>
  </w:style>
  <w:style w:type="paragraph" w:styleId="Piedepgina">
    <w:name w:val="footer"/>
    <w:basedOn w:val="Normal"/>
    <w:link w:val="PiedepginaCar"/>
    <w:uiPriority w:val="99"/>
    <w:unhideWhenUsed/>
    <w:rsid w:val="00466358"/>
    <w:pPr>
      <w:tabs>
        <w:tab w:val="center" w:pos="4252"/>
        <w:tab w:val="right" w:pos="8504"/>
      </w:tabs>
    </w:pPr>
    <w:rPr>
      <w:rFonts w:asciiTheme="minorHAnsi" w:eastAsiaTheme="minorEastAsia" w:hAnsiTheme="minorHAnsi" w:cstheme="minorBidi"/>
    </w:rPr>
  </w:style>
  <w:style w:type="character" w:customStyle="1" w:styleId="PiedepginaCar">
    <w:name w:val="Pie de página Car"/>
    <w:basedOn w:val="Fuentedeprrafopredeter"/>
    <w:link w:val="Piedepgina"/>
    <w:uiPriority w:val="99"/>
    <w:rsid w:val="00466358"/>
    <w:rPr>
      <w:rFonts w:eastAsiaTheme="minorEastAsia"/>
      <w:sz w:val="24"/>
      <w:szCs w:val="24"/>
      <w:lang w:val="es-ES_tradnl" w:eastAsia="es-ES"/>
    </w:rPr>
  </w:style>
  <w:style w:type="paragraph" w:styleId="Prrafodelista">
    <w:name w:val="List Paragraph"/>
    <w:basedOn w:val="Normal"/>
    <w:uiPriority w:val="1"/>
    <w:qFormat/>
    <w:rsid w:val="00466358"/>
    <w:pPr>
      <w:spacing w:after="200" w:line="276" w:lineRule="auto"/>
      <w:ind w:left="720"/>
      <w:contextualSpacing/>
    </w:pPr>
    <w:rPr>
      <w:rFonts w:asciiTheme="minorHAnsi" w:eastAsiaTheme="minorHAnsi" w:hAnsiTheme="minorHAnsi" w:cstheme="minorBidi"/>
      <w:sz w:val="22"/>
      <w:szCs w:val="22"/>
      <w:lang w:val="es-MX" w:eastAsia="en-US"/>
    </w:rPr>
  </w:style>
  <w:style w:type="table" w:styleId="Tablaconcuadrcula">
    <w:name w:val="Table Grid"/>
    <w:basedOn w:val="Tablanormal"/>
    <w:uiPriority w:val="59"/>
    <w:rsid w:val="00466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2F6E"/>
    <w:rPr>
      <w:color w:val="0563C1" w:themeColor="hyperlink"/>
      <w:u w:val="single"/>
    </w:rPr>
  </w:style>
  <w:style w:type="paragraph" w:customStyle="1" w:styleId="Cuerpo">
    <w:name w:val="Cuerpo"/>
    <w:rsid w:val="00E91586"/>
    <w:pPr>
      <w:pBdr>
        <w:top w:val="nil"/>
        <w:left w:val="nil"/>
        <w:bottom w:val="nil"/>
        <w:right w:val="nil"/>
        <w:between w:val="nil"/>
        <w:bar w:val="nil"/>
      </w:pBdr>
    </w:pPr>
    <w:rPr>
      <w:rFonts w:eastAsia="Arial Unicode MS" w:cs="Arial Unicode MS"/>
      <w:color w:val="000000"/>
      <w:u w:color="000000"/>
      <w:bdr w:val="nil"/>
      <w:lang w:val="pt-PT" w:eastAsia="es-ES"/>
      <w14:textOutline w14:w="0" w14:cap="flat" w14:cmpd="sng" w14:algn="ctr">
        <w14:noFill/>
        <w14:prstDash w14:val="solid"/>
        <w14:bevel/>
      </w14:textOutline>
    </w:rPr>
  </w:style>
  <w:style w:type="character" w:customStyle="1" w:styleId="Ninguno">
    <w:name w:val="Ninguno"/>
    <w:rsid w:val="00E91586"/>
    <w:rPr>
      <w:lang w:val="pt-PT"/>
    </w:rPr>
  </w:style>
  <w:style w:type="numbering" w:customStyle="1" w:styleId="Estiloimportado1">
    <w:name w:val="Estilo importado 1"/>
    <w:rsid w:val="00E91586"/>
  </w:style>
  <w:style w:type="character" w:styleId="Refdecomentario">
    <w:name w:val="annotation reference"/>
    <w:basedOn w:val="Fuentedeprrafopredeter"/>
    <w:uiPriority w:val="99"/>
    <w:semiHidden/>
    <w:unhideWhenUsed/>
    <w:rsid w:val="001E1AB2"/>
    <w:rPr>
      <w:sz w:val="16"/>
      <w:szCs w:val="16"/>
    </w:rPr>
  </w:style>
  <w:style w:type="paragraph" w:styleId="Textocomentario">
    <w:name w:val="annotation text"/>
    <w:basedOn w:val="Normal"/>
    <w:link w:val="TextocomentarioCar"/>
    <w:uiPriority w:val="99"/>
    <w:semiHidden/>
    <w:unhideWhenUsed/>
    <w:rsid w:val="001E1AB2"/>
    <w:rPr>
      <w:sz w:val="20"/>
      <w:szCs w:val="20"/>
    </w:rPr>
  </w:style>
  <w:style w:type="character" w:customStyle="1" w:styleId="TextocomentarioCar">
    <w:name w:val="Texto comentario Car"/>
    <w:basedOn w:val="Fuentedeprrafopredeter"/>
    <w:link w:val="Textocomentario"/>
    <w:uiPriority w:val="99"/>
    <w:semiHidden/>
    <w:rsid w:val="001E1AB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E1AB2"/>
    <w:rPr>
      <w:b/>
      <w:bCs/>
    </w:rPr>
  </w:style>
  <w:style w:type="character" w:customStyle="1" w:styleId="AsuntodelcomentarioCar">
    <w:name w:val="Asunto del comentario Car"/>
    <w:basedOn w:val="TextocomentarioCar"/>
    <w:link w:val="Asuntodelcomentario"/>
    <w:uiPriority w:val="99"/>
    <w:semiHidden/>
    <w:rsid w:val="001E1AB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1E1AB2"/>
    <w:rPr>
      <w:sz w:val="18"/>
      <w:szCs w:val="18"/>
    </w:rPr>
  </w:style>
  <w:style w:type="character" w:customStyle="1" w:styleId="TextodegloboCar">
    <w:name w:val="Texto de globo Car"/>
    <w:basedOn w:val="Fuentedeprrafopredeter"/>
    <w:link w:val="Textodeglobo"/>
    <w:uiPriority w:val="99"/>
    <w:semiHidden/>
    <w:rsid w:val="001E1AB2"/>
    <w:rPr>
      <w:rFonts w:ascii="Times New Roman" w:eastAsia="Times New Roman" w:hAnsi="Times New Roman" w:cs="Times New Roman"/>
      <w:sz w:val="18"/>
      <w:szCs w:val="18"/>
      <w:lang w:val="es-ES" w:eastAsia="es-ES"/>
    </w:rPr>
  </w:style>
  <w:style w:type="paragraph" w:styleId="Revisin">
    <w:name w:val="Revision"/>
    <w:hidden/>
    <w:uiPriority w:val="99"/>
    <w:semiHidden/>
    <w:rsid w:val="001E1AB2"/>
    <w:rPr>
      <w:lang w:val="es-ES" w:eastAsia="es-ES"/>
    </w:rPr>
  </w:style>
  <w:style w:type="character" w:customStyle="1" w:styleId="Mencinsinresolver1">
    <w:name w:val="Mención sin resolver1"/>
    <w:basedOn w:val="Fuentedeprrafopredeter"/>
    <w:uiPriority w:val="99"/>
    <w:semiHidden/>
    <w:unhideWhenUsed/>
    <w:rsid w:val="00EB67F7"/>
    <w:rPr>
      <w:color w:val="808080"/>
      <w:shd w:val="clear" w:color="auto" w:fill="E6E6E6"/>
    </w:rPr>
  </w:style>
  <w:style w:type="table" w:styleId="Tablaconcuadrcula4-nfasis3">
    <w:name w:val="Grid Table 4 Accent 3"/>
    <w:basedOn w:val="Tablanormal"/>
    <w:uiPriority w:val="49"/>
    <w:rsid w:val="0032040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9"/>
    <w:tblPr>
      <w:tblStyleRowBandSize w:val="1"/>
      <w:tblStyleColBandSize w:val="1"/>
      <w:tblCellMar>
        <w:left w:w="108" w:type="dxa"/>
        <w:right w:w="108" w:type="dxa"/>
      </w:tblCellMar>
    </w:tblPr>
  </w:style>
  <w:style w:type="table" w:customStyle="1" w:styleId="a0">
    <w:basedOn w:val="TableNormal9"/>
    <w:tblPr>
      <w:tblStyleRowBandSize w:val="1"/>
      <w:tblStyleColBandSize w:val="1"/>
      <w:tblCellMar>
        <w:left w:w="108" w:type="dxa"/>
        <w:right w:w="108" w:type="dxa"/>
      </w:tblCellMar>
    </w:tblPr>
  </w:style>
  <w:style w:type="table" w:customStyle="1" w:styleId="a1">
    <w:basedOn w:val="TableNormal9"/>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2">
    <w:basedOn w:val="TableNormal9"/>
    <w:tblPr>
      <w:tblStyleRowBandSize w:val="1"/>
      <w:tblStyleColBandSize w:val="1"/>
      <w:tblCellMar>
        <w:left w:w="108" w:type="dxa"/>
        <w:right w:w="108" w:type="dxa"/>
      </w:tblCellMar>
    </w:tblPr>
  </w:style>
  <w:style w:type="table" w:customStyle="1" w:styleId="a3">
    <w:basedOn w:val="TableNormal9"/>
    <w:tblPr>
      <w:tblStyleRowBandSize w:val="1"/>
      <w:tblStyleColBandSize w:val="1"/>
      <w:tblCellMar>
        <w:left w:w="108" w:type="dxa"/>
        <w:right w:w="108" w:type="dxa"/>
      </w:tblCellMar>
    </w:tblPr>
  </w:style>
  <w:style w:type="table" w:customStyle="1" w:styleId="a4">
    <w:basedOn w:val="TableNormal9"/>
    <w:tblPr>
      <w:tblStyleRowBandSize w:val="1"/>
      <w:tblStyleColBandSize w:val="1"/>
      <w:tblCellMar>
        <w:left w:w="108" w:type="dxa"/>
        <w:right w:w="108" w:type="dxa"/>
      </w:tblCellMar>
    </w:tblPr>
  </w:style>
  <w:style w:type="table" w:customStyle="1" w:styleId="a5">
    <w:basedOn w:val="TableNormal9"/>
    <w:tblPr>
      <w:tblStyleRowBandSize w:val="1"/>
      <w:tblStyleColBandSize w:val="1"/>
      <w:tblCellMar>
        <w:left w:w="108" w:type="dxa"/>
        <w:right w:w="108" w:type="dxa"/>
      </w:tblCellMar>
    </w:tblPr>
  </w:style>
  <w:style w:type="table" w:customStyle="1" w:styleId="a6">
    <w:basedOn w:val="TableNormal9"/>
    <w:tblPr>
      <w:tblStyleRowBandSize w:val="1"/>
      <w:tblStyleColBandSize w:val="1"/>
      <w:tblCellMar>
        <w:left w:w="115" w:type="dxa"/>
        <w:right w:w="115" w:type="dxa"/>
      </w:tblCellMar>
    </w:tblPr>
  </w:style>
  <w:style w:type="table" w:customStyle="1" w:styleId="a7">
    <w:basedOn w:val="TableNormal9"/>
    <w:tblPr>
      <w:tblStyleRowBandSize w:val="1"/>
      <w:tblStyleColBandSize w:val="1"/>
      <w:tblCellMar>
        <w:left w:w="115" w:type="dxa"/>
        <w:right w:w="115" w:type="dxa"/>
      </w:tblCellMar>
    </w:tblPr>
  </w:style>
  <w:style w:type="table" w:customStyle="1" w:styleId="a8">
    <w:basedOn w:val="TableNormal9"/>
    <w:tblPr>
      <w:tblStyleRowBandSize w:val="1"/>
      <w:tblStyleColBandSize w:val="1"/>
      <w:tblCellMar>
        <w:left w:w="115" w:type="dxa"/>
        <w:right w:w="115" w:type="dxa"/>
      </w:tblCellMar>
    </w:tblPr>
  </w:style>
  <w:style w:type="table" w:customStyle="1" w:styleId="a9">
    <w:basedOn w:val="TableNormal9"/>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8E5666"/>
    <w:pPr>
      <w:spacing w:before="100" w:beforeAutospacing="1" w:after="100" w:afterAutospacing="1"/>
    </w:pPr>
    <w:rPr>
      <w:lang w:val="es-MX" w:eastAsia="es-MX"/>
    </w:rPr>
  </w:style>
  <w:style w:type="table" w:customStyle="1" w:styleId="aa">
    <w:basedOn w:val="TableNormal8"/>
    <w:tblPr>
      <w:tblStyleRowBandSize w:val="1"/>
      <w:tblStyleColBandSize w:val="1"/>
      <w:tblCellMar>
        <w:left w:w="115" w:type="dxa"/>
        <w:right w:w="115" w:type="dxa"/>
      </w:tblCellMar>
    </w:tblPr>
  </w:style>
  <w:style w:type="table" w:customStyle="1" w:styleId="ab">
    <w:basedOn w:val="TableNormal8"/>
    <w:tblPr>
      <w:tblStyleRowBandSize w:val="1"/>
      <w:tblStyleColBandSize w:val="1"/>
      <w:tblCellMar>
        <w:left w:w="115" w:type="dxa"/>
        <w:right w:w="115" w:type="dxa"/>
      </w:tblCellMar>
    </w:tblPr>
  </w:style>
  <w:style w:type="table" w:customStyle="1" w:styleId="ac">
    <w:basedOn w:val="TableNormal8"/>
    <w:tblPr>
      <w:tblStyleRowBandSize w:val="1"/>
      <w:tblStyleColBandSize w:val="1"/>
      <w:tblCellMar>
        <w:left w:w="115" w:type="dxa"/>
        <w:right w:w="115" w:type="dxa"/>
      </w:tblCellMar>
    </w:tblPr>
  </w:style>
  <w:style w:type="table" w:customStyle="1" w:styleId="ad">
    <w:basedOn w:val="TableNormal8"/>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1"/>
    <w:qFormat/>
    <w:rsid w:val="00B825AC"/>
    <w:pPr>
      <w:widowControl w:val="0"/>
      <w:autoSpaceDE w:val="0"/>
      <w:autoSpaceDN w:val="0"/>
    </w:pPr>
    <w:rPr>
      <w:rFonts w:ascii="Palatino Linotype" w:eastAsia="Palatino Linotype" w:hAnsi="Palatino Linotype" w:cs="Palatino Linotype"/>
      <w:sz w:val="20"/>
      <w:szCs w:val="20"/>
      <w:lang w:val="es-ES" w:eastAsia="en-US"/>
    </w:rPr>
  </w:style>
  <w:style w:type="character" w:customStyle="1" w:styleId="TextoindependienteCar">
    <w:name w:val="Texto independiente Car"/>
    <w:basedOn w:val="Fuentedeprrafopredeter"/>
    <w:link w:val="Textoindependiente"/>
    <w:uiPriority w:val="1"/>
    <w:rsid w:val="00B825AC"/>
    <w:rPr>
      <w:rFonts w:ascii="Palatino Linotype" w:eastAsia="Palatino Linotype" w:hAnsi="Palatino Linotype" w:cs="Palatino Linotype"/>
      <w:sz w:val="20"/>
      <w:szCs w:val="20"/>
      <w:lang w:val="es-ES" w:eastAsia="en-US"/>
    </w:rPr>
  </w:style>
  <w:style w:type="table" w:customStyle="1" w:styleId="ae">
    <w:basedOn w:val="TableNormal7"/>
    <w:tblPr>
      <w:tblStyleRowBandSize w:val="1"/>
      <w:tblStyleColBandSize w:val="1"/>
      <w:tblCellMar>
        <w:left w:w="115" w:type="dxa"/>
        <w:right w:w="115" w:type="dxa"/>
      </w:tblCellMar>
    </w:tblPr>
  </w:style>
  <w:style w:type="table" w:customStyle="1" w:styleId="af">
    <w:basedOn w:val="TableNormal7"/>
    <w:tblPr>
      <w:tblStyleRowBandSize w:val="1"/>
      <w:tblStyleColBandSize w:val="1"/>
      <w:tblCellMar>
        <w:left w:w="115" w:type="dxa"/>
        <w:right w:w="115" w:type="dxa"/>
      </w:tblCellMar>
    </w:tblPr>
  </w:style>
  <w:style w:type="table" w:customStyle="1" w:styleId="af0">
    <w:basedOn w:val="TableNormal7"/>
    <w:tblPr>
      <w:tblStyleRowBandSize w:val="1"/>
      <w:tblStyleColBandSize w:val="1"/>
      <w:tblCellMar>
        <w:left w:w="115" w:type="dxa"/>
        <w:right w:w="115" w:type="dxa"/>
      </w:tblCellMar>
    </w:tblPr>
  </w:style>
  <w:style w:type="table" w:customStyle="1" w:styleId="af1">
    <w:basedOn w:val="TableNormal7"/>
    <w:tblPr>
      <w:tblStyleRowBandSize w:val="1"/>
      <w:tblStyleColBandSize w:val="1"/>
      <w:tblCellMar>
        <w:left w:w="115" w:type="dxa"/>
        <w:right w:w="115" w:type="dxa"/>
      </w:tblCellMar>
    </w:tblPr>
  </w:style>
  <w:style w:type="table" w:customStyle="1" w:styleId="af2">
    <w:basedOn w:val="TableNormal7"/>
    <w:tblPr>
      <w:tblStyleRowBandSize w:val="1"/>
      <w:tblStyleColBandSize w:val="1"/>
      <w:tblCellMar>
        <w:left w:w="115" w:type="dxa"/>
        <w:right w:w="115" w:type="dxa"/>
      </w:tblCellMar>
    </w:tblPr>
  </w:style>
  <w:style w:type="table" w:customStyle="1" w:styleId="af3">
    <w:basedOn w:val="TableNormal7"/>
    <w:tblPr>
      <w:tblStyleRowBandSize w:val="1"/>
      <w:tblStyleColBandSize w:val="1"/>
      <w:tblCellMar>
        <w:left w:w="115" w:type="dxa"/>
        <w:right w:w="115" w:type="dxa"/>
      </w:tblCellMar>
    </w:tblPr>
  </w:style>
  <w:style w:type="table" w:customStyle="1" w:styleId="af4">
    <w:basedOn w:val="TableNormal7"/>
    <w:tblPr>
      <w:tblStyleRowBandSize w:val="1"/>
      <w:tblStyleColBandSize w:val="1"/>
      <w:tblCellMar>
        <w:left w:w="115" w:type="dxa"/>
        <w:right w:w="115" w:type="dxa"/>
      </w:tblCellMar>
    </w:tblPr>
  </w:style>
  <w:style w:type="table" w:customStyle="1" w:styleId="af5">
    <w:basedOn w:val="TableNormal7"/>
    <w:tblPr>
      <w:tblStyleRowBandSize w:val="1"/>
      <w:tblStyleColBandSize w:val="1"/>
      <w:tblCellMar>
        <w:left w:w="115" w:type="dxa"/>
        <w:right w:w="115" w:type="dxa"/>
      </w:tblCellMar>
    </w:tblPr>
  </w:style>
  <w:style w:type="table" w:customStyle="1" w:styleId="af6">
    <w:basedOn w:val="TableNormal7"/>
    <w:tblPr>
      <w:tblStyleRowBandSize w:val="1"/>
      <w:tblStyleColBandSize w:val="1"/>
      <w:tblCellMar>
        <w:left w:w="115" w:type="dxa"/>
        <w:right w:w="115" w:type="dxa"/>
      </w:tblCellMar>
    </w:tblPr>
  </w:style>
  <w:style w:type="table" w:customStyle="1" w:styleId="af7">
    <w:basedOn w:val="TableNormal7"/>
    <w:tblPr>
      <w:tblStyleRowBandSize w:val="1"/>
      <w:tblStyleColBandSize w:val="1"/>
      <w:tblCellMar>
        <w:left w:w="115" w:type="dxa"/>
        <w:right w:w="115" w:type="dxa"/>
      </w:tblCellMar>
    </w:tblPr>
  </w:style>
  <w:style w:type="table" w:customStyle="1" w:styleId="af8">
    <w:basedOn w:val="TableNormal7"/>
    <w:tblPr>
      <w:tblStyleRowBandSize w:val="1"/>
      <w:tblStyleColBandSize w:val="1"/>
      <w:tblCellMar>
        <w:left w:w="115" w:type="dxa"/>
        <w:right w:w="115" w:type="dxa"/>
      </w:tblCellMar>
    </w:tblPr>
  </w:style>
  <w:style w:type="table" w:customStyle="1" w:styleId="af9">
    <w:basedOn w:val="TableNormal7"/>
    <w:tblPr>
      <w:tblStyleRowBandSize w:val="1"/>
      <w:tblStyleColBandSize w:val="1"/>
      <w:tblCellMar>
        <w:left w:w="115" w:type="dxa"/>
        <w:right w:w="115" w:type="dxa"/>
      </w:tblCellMar>
    </w:tblPr>
  </w:style>
  <w:style w:type="table" w:customStyle="1" w:styleId="afa">
    <w:basedOn w:val="TableNormal7"/>
    <w:tblPr>
      <w:tblStyleRowBandSize w:val="1"/>
      <w:tblStyleColBandSize w:val="1"/>
      <w:tblCellMar>
        <w:left w:w="115" w:type="dxa"/>
        <w:right w:w="115" w:type="dxa"/>
      </w:tblCellMar>
    </w:tblPr>
  </w:style>
  <w:style w:type="table" w:customStyle="1" w:styleId="afb">
    <w:basedOn w:val="TableNormal4"/>
    <w:tblPr>
      <w:tblStyleRowBandSize w:val="1"/>
      <w:tblStyleColBandSize w:val="1"/>
      <w:tblCellMar>
        <w:left w:w="115" w:type="dxa"/>
        <w:right w:w="115" w:type="dxa"/>
      </w:tblCellMar>
    </w:tblPr>
  </w:style>
  <w:style w:type="table" w:customStyle="1" w:styleId="afc">
    <w:basedOn w:val="TableNormal4"/>
    <w:tblPr>
      <w:tblStyleRowBandSize w:val="1"/>
      <w:tblStyleColBandSize w:val="1"/>
      <w:tblCellMar>
        <w:left w:w="115" w:type="dxa"/>
        <w:right w:w="115" w:type="dxa"/>
      </w:tblCellMar>
    </w:tblPr>
  </w:style>
  <w:style w:type="table" w:customStyle="1" w:styleId="afd">
    <w:basedOn w:val="TableNormal4"/>
    <w:tblPr>
      <w:tblStyleRowBandSize w:val="1"/>
      <w:tblStyleColBandSize w:val="1"/>
      <w:tblCellMar>
        <w:left w:w="115" w:type="dxa"/>
        <w:right w:w="115" w:type="dxa"/>
      </w:tblCellMar>
    </w:tblPr>
  </w:style>
  <w:style w:type="table" w:customStyle="1" w:styleId="afe">
    <w:basedOn w:val="TableNormal4"/>
    <w:tblPr>
      <w:tblStyleRowBandSize w:val="1"/>
      <w:tblStyleColBandSize w:val="1"/>
      <w:tblCellMar>
        <w:left w:w="115" w:type="dxa"/>
        <w:right w:w="115" w:type="dxa"/>
      </w:tblCellMar>
    </w:tblPr>
  </w:style>
  <w:style w:type="table" w:customStyle="1" w:styleId="aff">
    <w:basedOn w:val="TableNormal3"/>
    <w:tblPr>
      <w:tblStyleRowBandSize w:val="1"/>
      <w:tblStyleColBandSize w:val="1"/>
      <w:tblCellMar>
        <w:left w:w="115" w:type="dxa"/>
        <w:right w:w="115" w:type="dxa"/>
      </w:tblCellMar>
    </w:tblPr>
  </w:style>
  <w:style w:type="table" w:customStyle="1" w:styleId="aff0">
    <w:basedOn w:val="TableNormal3"/>
    <w:tblPr>
      <w:tblStyleRowBandSize w:val="1"/>
      <w:tblStyleColBandSize w:val="1"/>
      <w:tblCellMar>
        <w:left w:w="115" w:type="dxa"/>
        <w:right w:w="115" w:type="dxa"/>
      </w:tblCellMar>
    </w:tblPr>
  </w:style>
  <w:style w:type="table" w:customStyle="1" w:styleId="aff1">
    <w:basedOn w:val="TableNormal3"/>
    <w:tblPr>
      <w:tblStyleRowBandSize w:val="1"/>
      <w:tblStyleColBandSize w:val="1"/>
      <w:tblCellMar>
        <w:left w:w="115" w:type="dxa"/>
        <w:right w:w="115" w:type="dxa"/>
      </w:tblCellMar>
    </w:tblPr>
  </w:style>
  <w:style w:type="table" w:customStyle="1" w:styleId="aff2">
    <w:basedOn w:val="TableNormal3"/>
    <w:tblPr>
      <w:tblStyleRowBandSize w:val="1"/>
      <w:tblStyleColBandSize w:val="1"/>
      <w:tblCellMar>
        <w:left w:w="115" w:type="dxa"/>
        <w:right w:w="115" w:type="dxa"/>
      </w:tblCellMar>
    </w:tblPr>
  </w:style>
  <w:style w:type="table" w:customStyle="1" w:styleId="aff3">
    <w:basedOn w:val="TableNormal2"/>
    <w:tblPr>
      <w:tblStyleRowBandSize w:val="1"/>
      <w:tblStyleColBandSize w:val="1"/>
      <w:tblCellMar>
        <w:left w:w="115" w:type="dxa"/>
        <w:right w:w="115" w:type="dxa"/>
      </w:tblCellMar>
    </w:tblPr>
  </w:style>
  <w:style w:type="table" w:customStyle="1" w:styleId="aff4">
    <w:basedOn w:val="TableNormal2"/>
    <w:tblPr>
      <w:tblStyleRowBandSize w:val="1"/>
      <w:tblStyleColBandSize w:val="1"/>
      <w:tblCellMar>
        <w:left w:w="115" w:type="dxa"/>
        <w:right w:w="115" w:type="dxa"/>
      </w:tblCellMar>
    </w:tblPr>
  </w:style>
  <w:style w:type="table" w:customStyle="1" w:styleId="aff5">
    <w:basedOn w:val="TableNormal2"/>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1"/>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table" w:customStyle="1" w:styleId="affc">
    <w:basedOn w:val="TableNormal0"/>
    <w:tblPr>
      <w:tblStyleRowBandSize w:val="1"/>
      <w:tblStyleColBandSize w:val="1"/>
      <w:tblCellMar>
        <w:left w:w="108" w:type="dxa"/>
        <w:right w:w="108" w:type="dxa"/>
      </w:tblCellMar>
    </w:tblPr>
  </w:style>
  <w:style w:type="table" w:customStyle="1" w:styleId="affd">
    <w:basedOn w:val="TableNormal0"/>
    <w:tblPr>
      <w:tblStyleRowBandSize w:val="1"/>
      <w:tblStyleColBandSize w:val="1"/>
      <w:tblCellMar>
        <w:left w:w="115" w:type="dxa"/>
        <w:right w:w="115" w:type="dxa"/>
      </w:tblCellMar>
    </w:tblPr>
  </w:style>
  <w:style w:type="table" w:customStyle="1" w:styleId="affe">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py23CcbLq9BwuOjjEwMg7qc6FsA==">AMUW2mXmZgGnx3rH9bR4g4T98KZdUvyGI50OjWUITG5adzDnNtLOvpHscw8qgbSV1xJiHqqpI2oQ7XIDwnve8Mu4r6n9dqK29UfizwSPLAnKMWi9e594Vkw=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6099</Words>
  <Characters>33547</Characters>
  <Application>Microsoft Office Word</Application>
  <DocSecurity>0</DocSecurity>
  <Lines>279</Lines>
  <Paragraphs>79</Paragraphs>
  <ScaleCrop>false</ScaleCrop>
  <Company/>
  <LinksUpToDate>false</LinksUpToDate>
  <CharactersWithSpaces>39567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Bernardo Aguilar</cp:lastModifiedBy>
  <cp:revision>3</cp:revision>
  <dcterms:created xsi:type="dcterms:W3CDTF">2021-11-11T01:54:00Z</dcterms:created>
  <dcterms:modified xsi:type="dcterms:W3CDTF">2023-03-07T23:39:00Z</dcterms:modified>
</cp:coreProperties>
</file>