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32" w:rsidRPr="007B2FBA" w:rsidRDefault="007B2FBA" w:rsidP="007B2FBA">
      <w:pPr>
        <w:jc w:val="both"/>
        <w:rPr>
          <w:rFonts w:ascii="Palatino Linotype" w:hAnsi="Palatino Linotype" w:cs="Arial"/>
          <w:color w:val="000000" w:themeColor="text1"/>
          <w:sz w:val="23"/>
          <w:szCs w:val="23"/>
          <w:lang w:val="es-MX" w:eastAsia="es-MX"/>
        </w:rPr>
      </w:pPr>
      <w:r w:rsidRPr="007B2FBA">
        <w:rPr>
          <w:rFonts w:ascii="Palatino Linotype" w:hAnsi="Palatino Linotype" w:cs="Arial"/>
          <w:b/>
          <w:color w:val="000000" w:themeColor="text1"/>
          <w:sz w:val="23"/>
          <w:szCs w:val="23"/>
          <w:lang w:val="es-MX" w:eastAsia="es-MX"/>
        </w:rPr>
        <w:t>PRES</w:t>
      </w:r>
      <w:bookmarkStart w:id="0" w:name="_GoBack"/>
      <w:bookmarkEnd w:id="0"/>
      <w:r w:rsidRPr="007B2FBA">
        <w:rPr>
          <w:rFonts w:ascii="Palatino Linotype" w:hAnsi="Palatino Linotype" w:cs="Arial"/>
          <w:b/>
          <w:color w:val="000000" w:themeColor="text1"/>
          <w:sz w:val="23"/>
          <w:szCs w:val="23"/>
          <w:lang w:val="es-MX" w:eastAsia="es-MX"/>
        </w:rPr>
        <w:t>ERVACIÓN DE LA INFORMACIÓN, DEBER DE.</w:t>
      </w:r>
      <w:r w:rsidRPr="007B2FBA">
        <w:rPr>
          <w:rFonts w:ascii="Palatino Linotype" w:hAnsi="Palatino Linotype" w:cs="Arial"/>
          <w:color w:val="000000" w:themeColor="text1"/>
          <w:sz w:val="23"/>
          <w:szCs w:val="23"/>
          <w:lang w:val="es-MX" w:eastAsia="es-MX"/>
        </w:rPr>
        <w:t xml:space="preserve"> De conformidad con los artículos 6, apartado A, fracción V de la Constitución Política de los Estados Unidos Mexicanos; 5, párrafo vigésimo y vigésimo primero, fracción IV, de la Constitución Política del Estado Libre y Soberano de México y 24, IV, XXII, XXIII, XXV y penúltimo párrafo de la Ley de Transparencia, y Acceso a la Información Pública del Estado de México y Municipios, es deber de los sujetos obligados documentar todo acto que derive de sus facultades, competencias o funciones, y en consecuencia, preservar sus documentos en archivos administrativos actualizados con el objeto de atender las exigencias constitucionales que permitan garantizar de manera adecuada el ejercicio de los derechos de acceso a la información y protección de datos personales, por otro lado, la Ley General de Archivos, en sus numerales 5, 7, 6, párrafo segundo, y 16 regula que el Estado mexicano debe garantizar la organización, conservación y preservación de los archivos con el objeto de respetar el derecho a la verdad y el acceso a la información contenida en los archivos, así como fomentar el conocimiento del patrimonio documental de la Nación. Así las cosas, es indudable que los sujetos obligados deben dar cumplimiento a los principios y bases establecidas en la Ley General de Archivos, así como observar las directrices y procedimientos establecidos en los Lineamientos para la organización y conservación de archivos expedidos por el Consejo Nacional del Sistema Nacional de Transparencia, Acceso a la Información Pública, y Protección de Datos Personales y demás normatividad aplicable, con la finalidad de adoptar las medidas de índole técnica, administrativa, ambiental y tecnológica para la adecuada preservación de los documentos en archivos administrativos actualizados, pues ello constituye una garantía constitucional que permite el pleno reconocimiento y ejercicio de los derechos humanos de acceso a la información pública y protección de datos personales.</w:t>
      </w:r>
    </w:p>
    <w:p w:rsidR="00DD29EF" w:rsidRPr="00167103" w:rsidRDefault="00DD29EF" w:rsidP="00DD29EF">
      <w:pPr>
        <w:jc w:val="both"/>
        <w:rPr>
          <w:rFonts w:ascii="Palatino Linotype" w:eastAsiaTheme="minorHAnsi" w:hAnsi="Palatino Linotype"/>
          <w:b/>
          <w:sz w:val="20"/>
          <w:szCs w:val="20"/>
          <w:lang w:val="es-MX" w:eastAsia="en-US"/>
        </w:rPr>
      </w:pPr>
      <w:r w:rsidRPr="00167103">
        <w:rPr>
          <w:rFonts w:ascii="Palatino Linotype" w:eastAsiaTheme="minorHAnsi" w:hAnsi="Palatino Linotype"/>
          <w:b/>
          <w:sz w:val="20"/>
          <w:szCs w:val="20"/>
          <w:lang w:val="es-MX" w:eastAsia="en-US"/>
        </w:rPr>
        <w:t xml:space="preserve">Precedentes: </w:t>
      </w:r>
    </w:p>
    <w:p w:rsidR="00AE584A" w:rsidRPr="00167103" w:rsidRDefault="00AE584A" w:rsidP="00DD29EF">
      <w:pPr>
        <w:jc w:val="both"/>
        <w:rPr>
          <w:rFonts w:ascii="Palatino Linotype" w:eastAsiaTheme="minorHAnsi" w:hAnsi="Palatino Linotype"/>
          <w:sz w:val="20"/>
          <w:szCs w:val="20"/>
          <w:lang w:val="es-MX" w:eastAsia="en-US"/>
        </w:rPr>
      </w:pPr>
    </w:p>
    <w:p w:rsidR="00DD29EF" w:rsidRPr="00167103" w:rsidRDefault="00DD29EF" w:rsidP="00DD29EF">
      <w:pPr>
        <w:pStyle w:val="Prrafodelista"/>
        <w:numPr>
          <w:ilvl w:val="0"/>
          <w:numId w:val="2"/>
        </w:numPr>
        <w:jc w:val="both"/>
        <w:rPr>
          <w:rFonts w:ascii="Palatino Linotype" w:eastAsiaTheme="minorHAnsi" w:hAnsi="Palatino Linotype"/>
          <w:sz w:val="20"/>
          <w:szCs w:val="20"/>
          <w:lang w:val="es-MX" w:eastAsia="en-US"/>
        </w:rPr>
      </w:pP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En materia de acceso a la información</w:t>
      </w:r>
      <w:r w:rsidR="00BF4A86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pública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0</w:t>
      </w:r>
      <w:r w:rsidR="00BF4A86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6663/INFOEM/IP/RR/2019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Aprobado por</w:t>
      </w:r>
      <w:r w:rsidR="00B7039B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unanimidad de votos. Ayuntamiento de San José del Rincón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Comisionad</w:t>
      </w:r>
      <w:r w:rsidR="00E3389A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o</w:t>
      </w:r>
      <w:r w:rsidR="00B7039B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Ponente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</w:t>
      </w:r>
      <w:r w:rsidR="00281EBE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José Guadalupe Luna Hernández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</w:t>
      </w:r>
      <w:r w:rsidR="00F60AAA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</w:t>
      </w:r>
    </w:p>
    <w:p w:rsidR="00B7039B" w:rsidRPr="00167103" w:rsidRDefault="00B7039B" w:rsidP="00B7039B">
      <w:pPr>
        <w:pStyle w:val="Prrafodelista"/>
        <w:numPr>
          <w:ilvl w:val="0"/>
          <w:numId w:val="2"/>
        </w:numPr>
        <w:jc w:val="both"/>
        <w:rPr>
          <w:rFonts w:ascii="Palatino Linotype" w:eastAsiaTheme="minorHAnsi" w:hAnsi="Palatino Linotype"/>
          <w:sz w:val="20"/>
          <w:szCs w:val="20"/>
          <w:lang w:val="es-MX" w:eastAsia="en-US"/>
        </w:rPr>
      </w:pP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En materia de acceso a la información pública. 0</w:t>
      </w:r>
      <w:r w:rsidR="001B495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6418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/INFOEM/IP/RR/2019</w:t>
      </w:r>
      <w:r w:rsidR="001B495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y acumulado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Aprobado por unanimidad de votos</w:t>
      </w:r>
      <w:r w:rsidR="001B495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, emitiendo voto particular la Comisionada Zulema Martínez Sánchez y el Comisionado Luis Gustavo Parra Noriega</w:t>
      </w:r>
      <w:r w:rsidR="002D02E4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,</w:t>
      </w:r>
      <w:r w:rsidR="001B495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y opinión particular el Comisionado Javier Martínez Cruz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</w:t>
      </w:r>
      <w:r w:rsidR="002D02E4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Secretaría Ejecutiva del Sistema Estatal Anticorrupción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Comisionado Ponente José Guadalupe Luna Hernández.</w:t>
      </w:r>
      <w:r w:rsidR="001B495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</w:t>
      </w:r>
    </w:p>
    <w:p w:rsidR="00AE584A" w:rsidRPr="00167103" w:rsidRDefault="00B7039B" w:rsidP="00B7039B">
      <w:pPr>
        <w:pStyle w:val="Prrafodelista"/>
        <w:numPr>
          <w:ilvl w:val="0"/>
          <w:numId w:val="2"/>
        </w:numPr>
        <w:jc w:val="both"/>
        <w:rPr>
          <w:rFonts w:ascii="Palatino Linotype" w:eastAsiaTheme="minorHAnsi" w:hAnsi="Palatino Linotype"/>
          <w:sz w:val="20"/>
          <w:szCs w:val="20"/>
          <w:lang w:val="es-MX" w:eastAsia="en-US"/>
        </w:rPr>
      </w:pP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En materia de acceso a la información pública. 0</w:t>
      </w:r>
      <w:r w:rsidR="0054233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1613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/INFOEM/IP/RR/2019. Aprobado por unanimidad de votos</w:t>
      </w:r>
      <w:r w:rsidR="0054233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, emitiendo voto particular el Comisionado Luis Gustavo Parra Noriega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Ayuntamiento de</w:t>
      </w:r>
      <w:r w:rsidR="0054233F"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 xml:space="preserve"> Toluca</w:t>
      </w:r>
      <w:r w:rsidRPr="00167103">
        <w:rPr>
          <w:rFonts w:ascii="Palatino Linotype" w:eastAsiaTheme="minorHAnsi" w:hAnsi="Palatino Linotype"/>
          <w:sz w:val="20"/>
          <w:szCs w:val="20"/>
          <w:lang w:val="es-MX" w:eastAsia="en-US"/>
        </w:rPr>
        <w:t>. Comisionado Ponente José Guadalupe Luna Hernández.</w:t>
      </w:r>
    </w:p>
    <w:p w:rsidR="00DD29EF" w:rsidRPr="00167103" w:rsidRDefault="00DD29EF" w:rsidP="00DD29EF">
      <w:pPr>
        <w:pBdr>
          <w:bottom w:val="single" w:sz="12" w:space="1" w:color="auto"/>
        </w:pBdr>
        <w:tabs>
          <w:tab w:val="left" w:pos="284"/>
        </w:tabs>
        <w:autoSpaceDE w:val="0"/>
        <w:autoSpaceDN w:val="0"/>
        <w:adjustRightInd w:val="0"/>
        <w:ind w:right="-91"/>
        <w:jc w:val="both"/>
        <w:rPr>
          <w:rFonts w:ascii="Palatino Linotype" w:hAnsi="Palatino Linotype" w:cs="Arial"/>
          <w:sz w:val="20"/>
          <w:szCs w:val="20"/>
        </w:rPr>
      </w:pPr>
    </w:p>
    <w:p w:rsidR="00167103" w:rsidRDefault="00DD29EF" w:rsidP="007B2FBA">
      <w:pPr>
        <w:tabs>
          <w:tab w:val="left" w:pos="7830"/>
        </w:tabs>
        <w:rPr>
          <w:rFonts w:ascii="Palatino Linotype" w:hAnsi="Palatino Linotype" w:cstheme="minorHAnsi"/>
          <w:sz w:val="20"/>
          <w:szCs w:val="20"/>
        </w:rPr>
      </w:pPr>
      <w:r w:rsidRPr="00167103">
        <w:rPr>
          <w:rFonts w:ascii="Palatino Linotype" w:hAnsi="Palatino Linotype" w:cstheme="minorHAnsi"/>
          <w:b/>
          <w:sz w:val="20"/>
          <w:szCs w:val="20"/>
        </w:rPr>
        <w:t xml:space="preserve">Segunda Época                                                                 </w:t>
      </w:r>
      <w:r w:rsidR="00A76667" w:rsidRPr="00167103">
        <w:rPr>
          <w:rFonts w:ascii="Palatino Linotype" w:hAnsi="Palatino Linotype" w:cstheme="minorHAnsi"/>
          <w:b/>
          <w:sz w:val="20"/>
          <w:szCs w:val="20"/>
        </w:rPr>
        <w:t xml:space="preserve">                      </w:t>
      </w:r>
      <w:r w:rsidR="007B2FBA" w:rsidRPr="00167103">
        <w:rPr>
          <w:rFonts w:ascii="Palatino Linotype" w:hAnsi="Palatino Linotype" w:cstheme="minorHAnsi"/>
          <w:b/>
          <w:sz w:val="20"/>
          <w:szCs w:val="20"/>
        </w:rPr>
        <w:t xml:space="preserve">          </w:t>
      </w:r>
      <w:r w:rsidR="00A76667" w:rsidRPr="00167103">
        <w:rPr>
          <w:rFonts w:ascii="Palatino Linotype" w:hAnsi="Palatino Linotype" w:cstheme="minorHAnsi"/>
          <w:b/>
          <w:sz w:val="20"/>
          <w:szCs w:val="20"/>
        </w:rPr>
        <w:t xml:space="preserve">     </w:t>
      </w:r>
      <w:r w:rsidRPr="00167103">
        <w:rPr>
          <w:rFonts w:ascii="Palatino Linotype" w:hAnsi="Palatino Linotype" w:cstheme="minorHAnsi"/>
          <w:b/>
          <w:sz w:val="20"/>
          <w:szCs w:val="20"/>
        </w:rPr>
        <w:t xml:space="preserve">   </w:t>
      </w:r>
      <w:r w:rsidR="00167103" w:rsidRPr="00167103">
        <w:rPr>
          <w:rFonts w:ascii="Palatino Linotype" w:hAnsi="Palatino Linotype" w:cstheme="minorHAnsi"/>
          <w:b/>
          <w:sz w:val="20"/>
          <w:szCs w:val="20"/>
        </w:rPr>
        <w:t xml:space="preserve">                  </w:t>
      </w:r>
      <w:r w:rsidRPr="00167103">
        <w:rPr>
          <w:rFonts w:ascii="Palatino Linotype" w:hAnsi="Palatino Linotype" w:cstheme="minorHAnsi"/>
          <w:b/>
          <w:sz w:val="20"/>
          <w:szCs w:val="20"/>
        </w:rPr>
        <w:t xml:space="preserve">     Criterio </w:t>
      </w:r>
      <w:r w:rsidR="00317FA4" w:rsidRPr="00167103">
        <w:rPr>
          <w:rFonts w:ascii="Palatino Linotype" w:hAnsi="Palatino Linotype" w:cstheme="minorHAnsi"/>
          <w:b/>
          <w:sz w:val="20"/>
          <w:szCs w:val="20"/>
        </w:rPr>
        <w:t xml:space="preserve">Reiterado </w:t>
      </w:r>
      <w:r w:rsidR="00D80777" w:rsidRPr="00167103">
        <w:rPr>
          <w:rFonts w:ascii="Palatino Linotype" w:hAnsi="Palatino Linotype" w:cstheme="minorHAnsi"/>
          <w:b/>
          <w:sz w:val="20"/>
          <w:szCs w:val="20"/>
        </w:rPr>
        <w:t>1</w:t>
      </w:r>
      <w:r w:rsidR="002C2656" w:rsidRPr="00167103">
        <w:rPr>
          <w:rFonts w:ascii="Palatino Linotype" w:hAnsi="Palatino Linotype" w:cstheme="minorHAnsi"/>
          <w:b/>
          <w:sz w:val="20"/>
          <w:szCs w:val="20"/>
        </w:rPr>
        <w:t>0</w:t>
      </w:r>
      <w:r w:rsidRPr="00167103">
        <w:rPr>
          <w:rFonts w:ascii="Palatino Linotype" w:hAnsi="Palatino Linotype" w:cstheme="minorHAnsi"/>
          <w:b/>
          <w:sz w:val="20"/>
          <w:szCs w:val="20"/>
        </w:rPr>
        <w:t>/19</w:t>
      </w:r>
      <w:r w:rsidR="00167103" w:rsidRPr="00167103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Pr="00167103">
        <w:rPr>
          <w:rFonts w:ascii="Palatino Linotype" w:hAnsi="Palatino Linotype" w:cstheme="minorHAnsi"/>
          <w:b/>
          <w:sz w:val="20"/>
          <w:szCs w:val="20"/>
        </w:rPr>
        <w:t xml:space="preserve">                                                              </w:t>
      </w:r>
    </w:p>
    <w:p w:rsidR="00167103" w:rsidRDefault="00167103" w:rsidP="00167103">
      <w:pPr>
        <w:rPr>
          <w:rFonts w:ascii="Palatino Linotype" w:hAnsi="Palatino Linotype" w:cstheme="minorHAnsi"/>
          <w:sz w:val="20"/>
          <w:szCs w:val="20"/>
        </w:rPr>
      </w:pPr>
    </w:p>
    <w:p w:rsidR="00FB171A" w:rsidRPr="00167103" w:rsidRDefault="00167103" w:rsidP="00167103">
      <w:pPr>
        <w:tabs>
          <w:tab w:val="left" w:pos="1260"/>
        </w:tabs>
        <w:rPr>
          <w:rFonts w:ascii="Palatino Linotype" w:hAnsi="Palatino Linotype" w:cstheme="minorHAnsi"/>
          <w:sz w:val="16"/>
          <w:szCs w:val="16"/>
        </w:rPr>
      </w:pPr>
      <w:r>
        <w:rPr>
          <w:rFonts w:ascii="Palatino Linotype" w:hAnsi="Palatino Linotype" w:cstheme="minorHAnsi"/>
          <w:sz w:val="20"/>
          <w:szCs w:val="20"/>
        </w:rPr>
        <w:tab/>
      </w:r>
      <w:hyperlink r:id="rId8" w:history="1">
        <w:r w:rsidRPr="00167103">
          <w:rPr>
            <w:rStyle w:val="Hipervnculo"/>
            <w:rFonts w:ascii="Palatino Linotype" w:hAnsi="Palatino Linotype" w:cstheme="minorHAnsi"/>
            <w:sz w:val="16"/>
            <w:szCs w:val="16"/>
          </w:rPr>
          <w:t>https://legislacion.edomex.gob.mx/sites/legislacion.edomex.gob.mx/files/files/pdf/gct/2019/dic181.pdf</w:t>
        </w:r>
      </w:hyperlink>
    </w:p>
    <w:sectPr w:rsidR="00FB171A" w:rsidRPr="00167103" w:rsidSect="004049B7">
      <w:headerReference w:type="even" r:id="rId9"/>
      <w:headerReference w:type="default" r:id="rId10"/>
      <w:footerReference w:type="default" r:id="rId11"/>
      <w:pgSz w:w="12242" w:h="15842" w:code="1"/>
      <w:pgMar w:top="2127" w:right="1134" w:bottom="1560" w:left="1134" w:header="709" w:footer="16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DB" w:rsidRDefault="007768DB">
      <w:r>
        <w:separator/>
      </w:r>
    </w:p>
  </w:endnote>
  <w:endnote w:type="continuationSeparator" w:id="0">
    <w:p w:rsidR="007768DB" w:rsidRDefault="0077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EA" w:rsidRDefault="00675EE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6360E2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6360E2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F7625D" w:rsidRDefault="006360E2" w:rsidP="00211B84">
    <w:pPr>
      <w:pStyle w:val="Piedepgina"/>
      <w:tabs>
        <w:tab w:val="clear" w:pos="4252"/>
        <w:tab w:val="clear" w:pos="8504"/>
      </w:tabs>
      <w:ind w:right="88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DB" w:rsidRDefault="007768DB">
      <w:r>
        <w:separator/>
      </w:r>
    </w:p>
  </w:footnote>
  <w:footnote w:type="continuationSeparator" w:id="0">
    <w:p w:rsidR="007768DB" w:rsidRDefault="0077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6360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09.6pt;height:793.9pt;z-index:-251656704;mso-position-horizontal:center;mso-position-horizontal-relative:margin;mso-position-vertical:center;mso-position-vertical-relative:margin" o:allowincell="f">
          <v:imagedata r:id="rId1" o:title="HOJA MEMBRETADA INFOEM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9E11B9" w:rsidP="009E11B9">
    <w:pPr>
      <w:pStyle w:val="Encabezado"/>
      <w:tabs>
        <w:tab w:val="left" w:pos="7410"/>
      </w:tabs>
      <w:jc w:val="right"/>
      <w:rPr>
        <w:rFonts w:ascii="Palatino Linotype" w:hAnsi="Palatino Linotype"/>
        <w:sz w:val="18"/>
      </w:rPr>
    </w:pPr>
    <w:r w:rsidRPr="00CA6595">
      <w:rPr>
        <w:noProof/>
        <w:szCs w:val="21"/>
        <w:lang w:val="es-MX" w:eastAsia="es-MX"/>
      </w:rPr>
      <w:drawing>
        <wp:anchor distT="0" distB="0" distL="114300" distR="114300" simplePos="0" relativeHeight="251655680" behindDoc="1" locked="0" layoutInCell="1" allowOverlap="1" wp14:anchorId="58CD6B04" wp14:editId="5B8F5045">
          <wp:simplePos x="0" y="0"/>
          <wp:positionH relativeFrom="page">
            <wp:posOffset>-7648</wp:posOffset>
          </wp:positionH>
          <wp:positionV relativeFrom="paragraph">
            <wp:posOffset>-436825</wp:posOffset>
          </wp:positionV>
          <wp:extent cx="7604125" cy="1026541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26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11B9" w:rsidRDefault="009E11B9" w:rsidP="009E11B9">
    <w:pPr>
      <w:pStyle w:val="Encabezado"/>
      <w:tabs>
        <w:tab w:val="left" w:pos="7410"/>
      </w:tabs>
      <w:jc w:val="right"/>
      <w:rPr>
        <w:rFonts w:ascii="Palatino Linotype" w:hAnsi="Palatino Linotype"/>
        <w:sz w:val="18"/>
      </w:rPr>
    </w:pPr>
  </w:p>
  <w:p w:rsidR="009E11B9" w:rsidRDefault="009E11B9" w:rsidP="009E11B9">
    <w:pPr>
      <w:pStyle w:val="Encabezado"/>
      <w:tabs>
        <w:tab w:val="left" w:pos="7410"/>
      </w:tabs>
      <w:jc w:val="right"/>
      <w:rPr>
        <w:rFonts w:ascii="Palatino Linotype" w:hAnsi="Palatino Linotype"/>
        <w:sz w:val="18"/>
      </w:rPr>
    </w:pPr>
  </w:p>
  <w:p w:rsidR="009E11B9" w:rsidRDefault="009E11B9" w:rsidP="009E11B9">
    <w:pPr>
      <w:pStyle w:val="Encabezado"/>
      <w:tabs>
        <w:tab w:val="left" w:pos="7410"/>
      </w:tabs>
      <w:jc w:val="right"/>
      <w:rPr>
        <w:rFonts w:ascii="Palatino Linotype" w:eastAsia="Calibri" w:hAnsi="Palatino Linotype"/>
        <w:b/>
        <w:szCs w:val="21"/>
        <w:lang w:val="es-MX" w:eastAsia="en-US"/>
      </w:rPr>
    </w:pPr>
  </w:p>
  <w:p w:rsidR="00CA6595" w:rsidRPr="00CA6595" w:rsidRDefault="006360E2" w:rsidP="005241C2">
    <w:pPr>
      <w:jc w:val="right"/>
      <w:rPr>
        <w:rFonts w:ascii="Palatino Linotype" w:eastAsia="Calibri" w:hAnsi="Palatino Linotype"/>
        <w:b/>
        <w:szCs w:val="21"/>
        <w:lang w:val="es-MX" w:eastAsia="en-US"/>
      </w:rPr>
    </w:pPr>
  </w:p>
  <w:p w:rsidR="00AB3A48" w:rsidRPr="00CC43E4" w:rsidRDefault="006360E2" w:rsidP="00CA6595">
    <w:pPr>
      <w:tabs>
        <w:tab w:val="left" w:pos="1020"/>
        <w:tab w:val="right" w:pos="8838"/>
      </w:tabs>
      <w:rPr>
        <w:rFonts w:ascii="Palatino Linotype" w:eastAsia="Calibri" w:hAnsi="Palatino Linotype"/>
        <w:b/>
        <w:sz w:val="22"/>
        <w:lang w:val="es-MX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71F89"/>
    <w:multiLevelType w:val="hybridMultilevel"/>
    <w:tmpl w:val="F134068E"/>
    <w:lvl w:ilvl="0" w:tplc="F9967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B46B2"/>
    <w:multiLevelType w:val="hybridMultilevel"/>
    <w:tmpl w:val="BBF40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B"/>
    <w:rsid w:val="000060FE"/>
    <w:rsid w:val="00007608"/>
    <w:rsid w:val="00011C1D"/>
    <w:rsid w:val="00024C88"/>
    <w:rsid w:val="000404D7"/>
    <w:rsid w:val="00056DB9"/>
    <w:rsid w:val="00057EB9"/>
    <w:rsid w:val="000706BF"/>
    <w:rsid w:val="00073915"/>
    <w:rsid w:val="00081973"/>
    <w:rsid w:val="00084E5B"/>
    <w:rsid w:val="00096A02"/>
    <w:rsid w:val="000A5A30"/>
    <w:rsid w:val="000B0522"/>
    <w:rsid w:val="000B5511"/>
    <w:rsid w:val="000C639C"/>
    <w:rsid w:val="000C7E03"/>
    <w:rsid w:val="000E0F95"/>
    <w:rsid w:val="000E1ABB"/>
    <w:rsid w:val="000E1EEC"/>
    <w:rsid w:val="000E7625"/>
    <w:rsid w:val="000F0BD3"/>
    <w:rsid w:val="000F3085"/>
    <w:rsid w:val="001070FE"/>
    <w:rsid w:val="001078B2"/>
    <w:rsid w:val="0011376E"/>
    <w:rsid w:val="00146583"/>
    <w:rsid w:val="001545F5"/>
    <w:rsid w:val="00160E6A"/>
    <w:rsid w:val="00167103"/>
    <w:rsid w:val="001734F3"/>
    <w:rsid w:val="00176CB9"/>
    <w:rsid w:val="00182591"/>
    <w:rsid w:val="00184DD9"/>
    <w:rsid w:val="00186DD5"/>
    <w:rsid w:val="00190122"/>
    <w:rsid w:val="001A0A5A"/>
    <w:rsid w:val="001A4954"/>
    <w:rsid w:val="001A5B1F"/>
    <w:rsid w:val="001B2082"/>
    <w:rsid w:val="001B495F"/>
    <w:rsid w:val="001B7972"/>
    <w:rsid w:val="001C09CC"/>
    <w:rsid w:val="001E1460"/>
    <w:rsid w:val="001F7AC3"/>
    <w:rsid w:val="0021434A"/>
    <w:rsid w:val="00221F01"/>
    <w:rsid w:val="00226BB0"/>
    <w:rsid w:val="00251ABE"/>
    <w:rsid w:val="002550F9"/>
    <w:rsid w:val="00255B0C"/>
    <w:rsid w:val="002707C9"/>
    <w:rsid w:val="0027148F"/>
    <w:rsid w:val="0027693D"/>
    <w:rsid w:val="00281C91"/>
    <w:rsid w:val="00281EBE"/>
    <w:rsid w:val="002874F6"/>
    <w:rsid w:val="00294AF5"/>
    <w:rsid w:val="002A3995"/>
    <w:rsid w:val="002A4F18"/>
    <w:rsid w:val="002B57C8"/>
    <w:rsid w:val="002C2656"/>
    <w:rsid w:val="002C5DDB"/>
    <w:rsid w:val="002D0105"/>
    <w:rsid w:val="002D02E4"/>
    <w:rsid w:val="002D4228"/>
    <w:rsid w:val="002D47A1"/>
    <w:rsid w:val="002D4F52"/>
    <w:rsid w:val="002D7250"/>
    <w:rsid w:val="002E4D5D"/>
    <w:rsid w:val="002E7C4C"/>
    <w:rsid w:val="002F4CA6"/>
    <w:rsid w:val="00305691"/>
    <w:rsid w:val="003131D4"/>
    <w:rsid w:val="00317FA4"/>
    <w:rsid w:val="00336C20"/>
    <w:rsid w:val="00356A68"/>
    <w:rsid w:val="00366271"/>
    <w:rsid w:val="00373B2E"/>
    <w:rsid w:val="003A15C2"/>
    <w:rsid w:val="003A15E6"/>
    <w:rsid w:val="003A15EF"/>
    <w:rsid w:val="003A3AAC"/>
    <w:rsid w:val="003D0266"/>
    <w:rsid w:val="003D4F94"/>
    <w:rsid w:val="003F0E70"/>
    <w:rsid w:val="003F577D"/>
    <w:rsid w:val="004031EC"/>
    <w:rsid w:val="004049B7"/>
    <w:rsid w:val="0040532C"/>
    <w:rsid w:val="00407346"/>
    <w:rsid w:val="0041510A"/>
    <w:rsid w:val="00415765"/>
    <w:rsid w:val="004230A2"/>
    <w:rsid w:val="00423B64"/>
    <w:rsid w:val="004550CE"/>
    <w:rsid w:val="004564A2"/>
    <w:rsid w:val="00473A8C"/>
    <w:rsid w:val="00484C16"/>
    <w:rsid w:val="00487944"/>
    <w:rsid w:val="00491886"/>
    <w:rsid w:val="00492383"/>
    <w:rsid w:val="004B2917"/>
    <w:rsid w:val="004B4ECE"/>
    <w:rsid w:val="004B7883"/>
    <w:rsid w:val="004C35FD"/>
    <w:rsid w:val="004C5B9A"/>
    <w:rsid w:val="004D097D"/>
    <w:rsid w:val="004D0FC6"/>
    <w:rsid w:val="004E79B0"/>
    <w:rsid w:val="005002C3"/>
    <w:rsid w:val="00500F12"/>
    <w:rsid w:val="00520B13"/>
    <w:rsid w:val="0053389C"/>
    <w:rsid w:val="0054165F"/>
    <w:rsid w:val="0054233F"/>
    <w:rsid w:val="00543C15"/>
    <w:rsid w:val="00551355"/>
    <w:rsid w:val="0055431C"/>
    <w:rsid w:val="00554431"/>
    <w:rsid w:val="00561DB8"/>
    <w:rsid w:val="00570CE6"/>
    <w:rsid w:val="00573A3A"/>
    <w:rsid w:val="0058575D"/>
    <w:rsid w:val="00590CCB"/>
    <w:rsid w:val="00594F6E"/>
    <w:rsid w:val="00595835"/>
    <w:rsid w:val="005A794C"/>
    <w:rsid w:val="005B59AB"/>
    <w:rsid w:val="005C6F70"/>
    <w:rsid w:val="005E5DB5"/>
    <w:rsid w:val="005F5B47"/>
    <w:rsid w:val="0060157B"/>
    <w:rsid w:val="00606A0B"/>
    <w:rsid w:val="00610E4C"/>
    <w:rsid w:val="00614125"/>
    <w:rsid w:val="00615B58"/>
    <w:rsid w:val="006204F6"/>
    <w:rsid w:val="006360E2"/>
    <w:rsid w:val="0063694E"/>
    <w:rsid w:val="00675EEA"/>
    <w:rsid w:val="00683B26"/>
    <w:rsid w:val="00686A15"/>
    <w:rsid w:val="00697F6D"/>
    <w:rsid w:val="006A08EC"/>
    <w:rsid w:val="006A0F16"/>
    <w:rsid w:val="006A1C40"/>
    <w:rsid w:val="006A208E"/>
    <w:rsid w:val="006B55AC"/>
    <w:rsid w:val="006C146B"/>
    <w:rsid w:val="006D1CFB"/>
    <w:rsid w:val="00701C24"/>
    <w:rsid w:val="00702FEA"/>
    <w:rsid w:val="007046E6"/>
    <w:rsid w:val="00707BFF"/>
    <w:rsid w:val="00712D0E"/>
    <w:rsid w:val="0071447C"/>
    <w:rsid w:val="007246E8"/>
    <w:rsid w:val="007263F1"/>
    <w:rsid w:val="00726664"/>
    <w:rsid w:val="00740AF4"/>
    <w:rsid w:val="007424A6"/>
    <w:rsid w:val="00746A1E"/>
    <w:rsid w:val="00752AFE"/>
    <w:rsid w:val="00771F96"/>
    <w:rsid w:val="00773E12"/>
    <w:rsid w:val="0077468D"/>
    <w:rsid w:val="007768DB"/>
    <w:rsid w:val="00784A98"/>
    <w:rsid w:val="00785A18"/>
    <w:rsid w:val="0079223C"/>
    <w:rsid w:val="007B2FBA"/>
    <w:rsid w:val="007B359E"/>
    <w:rsid w:val="007B7AD1"/>
    <w:rsid w:val="007C3C1F"/>
    <w:rsid w:val="007D1B86"/>
    <w:rsid w:val="007F662E"/>
    <w:rsid w:val="00800887"/>
    <w:rsid w:val="0080319B"/>
    <w:rsid w:val="00813797"/>
    <w:rsid w:val="0081754D"/>
    <w:rsid w:val="00817EB1"/>
    <w:rsid w:val="00820ED3"/>
    <w:rsid w:val="00831946"/>
    <w:rsid w:val="008358DC"/>
    <w:rsid w:val="00840F9E"/>
    <w:rsid w:val="008525C6"/>
    <w:rsid w:val="00852B66"/>
    <w:rsid w:val="008533FB"/>
    <w:rsid w:val="0085729F"/>
    <w:rsid w:val="0086085A"/>
    <w:rsid w:val="00873632"/>
    <w:rsid w:val="00876D60"/>
    <w:rsid w:val="0088188C"/>
    <w:rsid w:val="008879E1"/>
    <w:rsid w:val="00890091"/>
    <w:rsid w:val="008A28FC"/>
    <w:rsid w:val="008B7D14"/>
    <w:rsid w:val="008C1AAC"/>
    <w:rsid w:val="008E4E38"/>
    <w:rsid w:val="008F25BD"/>
    <w:rsid w:val="008F37DB"/>
    <w:rsid w:val="00900F0E"/>
    <w:rsid w:val="00901721"/>
    <w:rsid w:val="00906023"/>
    <w:rsid w:val="009118E6"/>
    <w:rsid w:val="0091657E"/>
    <w:rsid w:val="00920817"/>
    <w:rsid w:val="00952B23"/>
    <w:rsid w:val="00954FF5"/>
    <w:rsid w:val="009606C7"/>
    <w:rsid w:val="00961BC8"/>
    <w:rsid w:val="00966551"/>
    <w:rsid w:val="00974370"/>
    <w:rsid w:val="00986A46"/>
    <w:rsid w:val="009913D2"/>
    <w:rsid w:val="0099295D"/>
    <w:rsid w:val="009978C4"/>
    <w:rsid w:val="009A1ECB"/>
    <w:rsid w:val="009A2D20"/>
    <w:rsid w:val="009A6A0D"/>
    <w:rsid w:val="009A6B8B"/>
    <w:rsid w:val="009C0D33"/>
    <w:rsid w:val="009C7886"/>
    <w:rsid w:val="009D12A7"/>
    <w:rsid w:val="009E11B9"/>
    <w:rsid w:val="009E764D"/>
    <w:rsid w:val="009F3F34"/>
    <w:rsid w:val="00A04244"/>
    <w:rsid w:val="00A04254"/>
    <w:rsid w:val="00A04BB3"/>
    <w:rsid w:val="00A06AE3"/>
    <w:rsid w:val="00A06CE4"/>
    <w:rsid w:val="00A12871"/>
    <w:rsid w:val="00A132AB"/>
    <w:rsid w:val="00A1699C"/>
    <w:rsid w:val="00A22F72"/>
    <w:rsid w:val="00A42F2C"/>
    <w:rsid w:val="00A477D7"/>
    <w:rsid w:val="00A55BA7"/>
    <w:rsid w:val="00A67202"/>
    <w:rsid w:val="00A75B2D"/>
    <w:rsid w:val="00A76667"/>
    <w:rsid w:val="00A76E28"/>
    <w:rsid w:val="00A874EF"/>
    <w:rsid w:val="00A87FA3"/>
    <w:rsid w:val="00AA2E99"/>
    <w:rsid w:val="00AC1B69"/>
    <w:rsid w:val="00AC4671"/>
    <w:rsid w:val="00AD325F"/>
    <w:rsid w:val="00AE584A"/>
    <w:rsid w:val="00AF1836"/>
    <w:rsid w:val="00AF41DE"/>
    <w:rsid w:val="00B0714A"/>
    <w:rsid w:val="00B11D3B"/>
    <w:rsid w:val="00B1533D"/>
    <w:rsid w:val="00B23D37"/>
    <w:rsid w:val="00B24530"/>
    <w:rsid w:val="00B31A68"/>
    <w:rsid w:val="00B37811"/>
    <w:rsid w:val="00B46679"/>
    <w:rsid w:val="00B61E33"/>
    <w:rsid w:val="00B658DF"/>
    <w:rsid w:val="00B7039B"/>
    <w:rsid w:val="00B71105"/>
    <w:rsid w:val="00B80AA8"/>
    <w:rsid w:val="00B827DE"/>
    <w:rsid w:val="00B8287D"/>
    <w:rsid w:val="00B95EAA"/>
    <w:rsid w:val="00BA1C6E"/>
    <w:rsid w:val="00BA26B4"/>
    <w:rsid w:val="00BA7FEC"/>
    <w:rsid w:val="00BB0064"/>
    <w:rsid w:val="00BB2627"/>
    <w:rsid w:val="00BB2D73"/>
    <w:rsid w:val="00BC363F"/>
    <w:rsid w:val="00BC74F6"/>
    <w:rsid w:val="00BF4A86"/>
    <w:rsid w:val="00C014A6"/>
    <w:rsid w:val="00C03E1C"/>
    <w:rsid w:val="00C0572B"/>
    <w:rsid w:val="00C12C3E"/>
    <w:rsid w:val="00C1351E"/>
    <w:rsid w:val="00C25097"/>
    <w:rsid w:val="00C25BB0"/>
    <w:rsid w:val="00C268F5"/>
    <w:rsid w:val="00C26FBC"/>
    <w:rsid w:val="00C33B4F"/>
    <w:rsid w:val="00C37698"/>
    <w:rsid w:val="00C42906"/>
    <w:rsid w:val="00C458B3"/>
    <w:rsid w:val="00C47FFE"/>
    <w:rsid w:val="00C601DC"/>
    <w:rsid w:val="00C675C2"/>
    <w:rsid w:val="00C87F16"/>
    <w:rsid w:val="00CB7E9B"/>
    <w:rsid w:val="00CC29A4"/>
    <w:rsid w:val="00CE0075"/>
    <w:rsid w:val="00CE22F0"/>
    <w:rsid w:val="00CE6C1D"/>
    <w:rsid w:val="00CE7E0C"/>
    <w:rsid w:val="00CF6C2F"/>
    <w:rsid w:val="00D0657E"/>
    <w:rsid w:val="00D17DFA"/>
    <w:rsid w:val="00D304EC"/>
    <w:rsid w:val="00D373B9"/>
    <w:rsid w:val="00D448BC"/>
    <w:rsid w:val="00D5705A"/>
    <w:rsid w:val="00D6408D"/>
    <w:rsid w:val="00D67E6A"/>
    <w:rsid w:val="00D73132"/>
    <w:rsid w:val="00D7330D"/>
    <w:rsid w:val="00D80777"/>
    <w:rsid w:val="00D821E0"/>
    <w:rsid w:val="00D9288A"/>
    <w:rsid w:val="00D956CE"/>
    <w:rsid w:val="00D95E47"/>
    <w:rsid w:val="00DA0CF1"/>
    <w:rsid w:val="00DA4474"/>
    <w:rsid w:val="00DA515E"/>
    <w:rsid w:val="00DA6232"/>
    <w:rsid w:val="00DC656A"/>
    <w:rsid w:val="00DC7C54"/>
    <w:rsid w:val="00DD0574"/>
    <w:rsid w:val="00DD29EF"/>
    <w:rsid w:val="00DD50CB"/>
    <w:rsid w:val="00DD554F"/>
    <w:rsid w:val="00DE4994"/>
    <w:rsid w:val="00DF778F"/>
    <w:rsid w:val="00E05F7A"/>
    <w:rsid w:val="00E13BBF"/>
    <w:rsid w:val="00E3389A"/>
    <w:rsid w:val="00E34B1A"/>
    <w:rsid w:val="00E36A7C"/>
    <w:rsid w:val="00E416E8"/>
    <w:rsid w:val="00E47802"/>
    <w:rsid w:val="00E5037A"/>
    <w:rsid w:val="00E570F9"/>
    <w:rsid w:val="00E57D8D"/>
    <w:rsid w:val="00E6390C"/>
    <w:rsid w:val="00E742A2"/>
    <w:rsid w:val="00E7513F"/>
    <w:rsid w:val="00E85595"/>
    <w:rsid w:val="00EA3A5B"/>
    <w:rsid w:val="00EB0ECB"/>
    <w:rsid w:val="00EB51DE"/>
    <w:rsid w:val="00ED60DB"/>
    <w:rsid w:val="00EE22DB"/>
    <w:rsid w:val="00EF55A4"/>
    <w:rsid w:val="00EF6393"/>
    <w:rsid w:val="00F039A0"/>
    <w:rsid w:val="00F04480"/>
    <w:rsid w:val="00F072E9"/>
    <w:rsid w:val="00F2100F"/>
    <w:rsid w:val="00F329C0"/>
    <w:rsid w:val="00F477F2"/>
    <w:rsid w:val="00F53CCD"/>
    <w:rsid w:val="00F54383"/>
    <w:rsid w:val="00F60AAA"/>
    <w:rsid w:val="00F63168"/>
    <w:rsid w:val="00F64C94"/>
    <w:rsid w:val="00F874AF"/>
    <w:rsid w:val="00F876EA"/>
    <w:rsid w:val="00F943F2"/>
    <w:rsid w:val="00F95AB3"/>
    <w:rsid w:val="00FA177F"/>
    <w:rsid w:val="00FB171A"/>
    <w:rsid w:val="00FC26D3"/>
    <w:rsid w:val="00FD0B9A"/>
    <w:rsid w:val="00FD3548"/>
    <w:rsid w:val="00FD3FBB"/>
    <w:rsid w:val="00FE16D8"/>
    <w:rsid w:val="00FE31B7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D8C826-44A5-4E92-86F0-F42CE919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4E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84E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84E5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8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E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E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50C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45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9E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styleId="Hipervnculo">
    <w:name w:val="Hyperlink"/>
    <w:basedOn w:val="Fuentedeprrafopredeter"/>
    <w:uiPriority w:val="99"/>
    <w:unhideWhenUsed/>
    <w:rsid w:val="00167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ion.edomex.gob.mx/sites/legislacion.edomex.gob.mx/files/files/pdf/gct/2019/dic18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EDEA-F458-46C2-B894-4C0CDC3A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48</cp:revision>
  <cp:lastPrinted>2019-03-01T00:25:00Z</cp:lastPrinted>
  <dcterms:created xsi:type="dcterms:W3CDTF">2018-11-07T01:23:00Z</dcterms:created>
  <dcterms:modified xsi:type="dcterms:W3CDTF">2020-02-13T00:34:00Z</dcterms:modified>
</cp:coreProperties>
</file>