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71" w:rsidRPr="00A9441E" w:rsidRDefault="00A9441E" w:rsidP="00A9441E">
      <w:pPr>
        <w:jc w:val="both"/>
        <w:rPr>
          <w:rFonts w:ascii="Palatino Linotype" w:hAnsi="Palatino Linotype"/>
          <w:sz w:val="20"/>
          <w:szCs w:val="20"/>
        </w:rPr>
      </w:pPr>
      <w:r w:rsidRPr="00A9441E">
        <w:rPr>
          <w:rFonts w:ascii="Palatino Linotype" w:hAnsi="Palatino Linotype"/>
          <w:b/>
          <w:sz w:val="20"/>
          <w:szCs w:val="20"/>
        </w:rPr>
        <w:t xml:space="preserve">PADRÓN DE BENEFICIARIOS EN POSESIÓN DE SUJETOS OBLIGADOS. EXCEPCIONES PARA LA PUBLICACIÓN DE DATOS PERSONALES CONTENIDOS EN AQUÉL. </w:t>
      </w:r>
      <w:r w:rsidRPr="00A9441E">
        <w:rPr>
          <w:rFonts w:ascii="Palatino Linotype" w:hAnsi="Palatino Linotype"/>
          <w:sz w:val="20"/>
          <w:szCs w:val="20"/>
        </w:rPr>
        <w:t>De conformidad con el artículo 1º, párrafo segundo de la Constitución Política de los Estados Unidos Mexicanos, las normas de derechos humanos se interpretarán de conformidad con dicha Constitución y los Tratados Internaciones de la materia, favoreciendo en todo tiempo a las personas la protección más amplia. En ese tenor, si bien el numeral 92, fracción XIV, inciso p) de la Ley de Transparencia y Acceso a la Información Pública del Estado de México y Municipios establece como obligación de transparencia común, la publicación de manera permanente y actualizada de los programas de subsidios, estímulos y apoyos, así como el padrón de los beneficiarios, dentro del cual se contienen en esencia, datos personales como el nombre de la persona física o denominación de la persona jurídica colectiva beneficiada, lo cierto es que, esta disposición normativa debe ser interpretada con los principios y derechos establecidos en nuestra Constitución general, como aquellos previstos en los artículos 1º, párrafo quinto, 4°, párrafo noveno, y 16, párrafo segundo; el primero de ellos relativo al principio de no discriminación, el cual prohíbe toda anulación o menoscabo de los derechos y libertades de las personas motivada, entre otras cosas, por origen étnico, el género, la edad, las discapacidades, la condición social, las condiciones de salud o cualquier otra que atente contra la dignidad humana; el segundo relativo al interés superior de la niñez, mandatando que en todas las decisiones y actuaciones del Estado se velará y cumplirá aquél, garantizando de manera plena sus derechos; y finalmente, el derecho a la protección de datos personales, mismo que se reconoce a toda persona, en los términos que fije la ley, en la cual se establecerán los supuestos de excepción a los principios que rijan el tratamiento de datos. Bajo esas directrices, el dispositivo legal en cita de la Ley de Transparencia, debe interpretarse a la luz de los principios y derechos de referencia, a fin de excluir los nombres de las personas menores de edad y las de capacidades diferentes, contenidos en los padrones de beneficiarios en posesión de los Sujetos Obligados, toda vez que la publicidad de estos datos personales puede revelar condiciones sociales, culturales y su plena identidad, que por regla general corresponden a grupos vulnerables o grupos sociales en condiciones de desventaja y que naturalmente representan datos sensibles que pueden afectar irreparablemente a su titular, los cuales requieren de una mayor protección, dado que de hacerse públicos generarían un riesgo o afectación que atenta contra la dignidad, la no discriminación y especialmente a la protección de los datos personales, con la única excepción de que, a través de un test de interés público se justifique de manera razonable, la publicidad de dichos datos personales; por tanto, los referidos datos personales deberán clasificarse como confidenciales, en términos de lo dispuesto por los dispositivos Constitucionales previamente invocados y los diversos 3, fracciones IX, XX, XXI, XXIII, XXXII; 8; 6; 137 y 143, fracción I de la Ley de Transparencia y Acceso a la Información Pública del Estado de México y Municipios así como 4, fracciones XI y XII; 6; 7; 8 y 10, de la Ley de Protección de Datos Personales en Posesión de Sujetos Obligados del Estado de México y Municipios.</w:t>
      </w:r>
    </w:p>
    <w:p w:rsidR="00A3792B" w:rsidRPr="005C1180" w:rsidRDefault="00A3792B" w:rsidP="00434871">
      <w:pPr>
        <w:jc w:val="both"/>
        <w:rPr>
          <w:rFonts w:ascii="Palatino Linotype" w:hAnsi="Palatino Linotype"/>
          <w:b/>
          <w:sz w:val="10"/>
          <w:szCs w:val="10"/>
        </w:rPr>
      </w:pPr>
    </w:p>
    <w:p w:rsidR="001D2FE5" w:rsidRPr="005C1180" w:rsidRDefault="001D2FE5" w:rsidP="001D2FE5">
      <w:pPr>
        <w:jc w:val="both"/>
        <w:rPr>
          <w:rFonts w:ascii="Palatino Linotype" w:hAnsi="Palatino Linotype"/>
          <w:b/>
          <w:sz w:val="16"/>
          <w:szCs w:val="16"/>
        </w:rPr>
      </w:pPr>
      <w:r w:rsidRPr="005C1180">
        <w:rPr>
          <w:rFonts w:ascii="Palatino Linotype" w:hAnsi="Palatino Linotype"/>
          <w:b/>
          <w:sz w:val="16"/>
          <w:szCs w:val="16"/>
        </w:rPr>
        <w:t xml:space="preserve">Precedentes: </w:t>
      </w:r>
    </w:p>
    <w:p w:rsidR="001D2FE5" w:rsidRPr="00932996" w:rsidRDefault="001D2FE5" w:rsidP="001D2FE5">
      <w:pPr>
        <w:pStyle w:val="Prrafodelista"/>
        <w:numPr>
          <w:ilvl w:val="0"/>
          <w:numId w:val="1"/>
        </w:numPr>
        <w:jc w:val="both"/>
        <w:rPr>
          <w:rFonts w:ascii="Palatino Linotype" w:eastAsiaTheme="minorHAnsi" w:hAnsi="Palatino Linotype"/>
          <w:sz w:val="16"/>
          <w:szCs w:val="16"/>
          <w:lang w:val="es-MX" w:eastAsia="en-US"/>
        </w:rPr>
      </w:pP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En materia de acceso a la información pública. </w:t>
      </w:r>
      <w:r w:rsidR="00AB1993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03182/INFOEM/IP/RR/2019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. Aprobado por </w:t>
      </w:r>
      <w:r w:rsidR="00AB1993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unanimidad de votos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. </w:t>
      </w:r>
      <w:r w:rsidR="00AB1993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Ayuntamiento de Toluca. Comisionada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 Ponente </w:t>
      </w:r>
      <w:r w:rsidR="00AB1993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Eva Abaid Yapur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</w:t>
      </w:r>
      <w:r w:rsidR="00AB1993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 </w:t>
      </w:r>
    </w:p>
    <w:p w:rsidR="001D2FE5" w:rsidRPr="00932996" w:rsidRDefault="001D2FE5" w:rsidP="001D2FE5">
      <w:pPr>
        <w:pStyle w:val="Prrafodelista"/>
        <w:numPr>
          <w:ilvl w:val="0"/>
          <w:numId w:val="1"/>
        </w:numPr>
        <w:jc w:val="both"/>
        <w:rPr>
          <w:rFonts w:ascii="Palatino Linotype" w:eastAsiaTheme="minorHAnsi" w:hAnsi="Palatino Linotype"/>
          <w:sz w:val="16"/>
          <w:szCs w:val="16"/>
          <w:lang w:val="es-MX" w:eastAsia="en-US"/>
        </w:rPr>
      </w:pP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En materia de acceso a la información pública.</w:t>
      </w:r>
      <w:r w:rsidRPr="00932996">
        <w:rPr>
          <w:sz w:val="16"/>
          <w:szCs w:val="16"/>
        </w:rPr>
        <w:t xml:space="preserve"> </w:t>
      </w:r>
      <w:r w:rsidR="0045216E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02878/INFOEM/IP/RR/2019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. Aprobado por </w:t>
      </w:r>
      <w:r w:rsidR="0045216E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unanimidad 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de votos</w:t>
      </w:r>
      <w:r w:rsidR="0045216E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 Ayuntamiento de Valle de Chalco Solidaridad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 Comisionado Ponente José Guadalupe Luna Hernández.</w:t>
      </w:r>
      <w:r w:rsidR="0045216E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 </w:t>
      </w:r>
    </w:p>
    <w:p w:rsidR="001D2FE5" w:rsidRPr="00932996" w:rsidRDefault="001D2FE5" w:rsidP="001D2FE5">
      <w:pPr>
        <w:pStyle w:val="Prrafodelista"/>
        <w:numPr>
          <w:ilvl w:val="0"/>
          <w:numId w:val="1"/>
        </w:numPr>
        <w:jc w:val="both"/>
        <w:rPr>
          <w:rFonts w:ascii="Palatino Linotype" w:eastAsiaTheme="minorHAnsi" w:hAnsi="Palatino Linotype"/>
          <w:sz w:val="16"/>
          <w:szCs w:val="16"/>
          <w:lang w:val="es-MX" w:eastAsia="en-US"/>
        </w:rPr>
      </w:pP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En materia de acceso a la información pública. </w:t>
      </w:r>
      <w:r w:rsidR="00B80B58" w:rsidRPr="00932996">
        <w:rPr>
          <w:rFonts w:ascii="Palatino Linotype" w:hAnsi="Palatino Linotype"/>
          <w:sz w:val="16"/>
          <w:szCs w:val="16"/>
        </w:rPr>
        <w:t>01869/INFOEM/IP/RR/2019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. Aprobado por </w:t>
      </w:r>
      <w:r w:rsidR="00B80B58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unanimidad 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de </w:t>
      </w:r>
      <w:r w:rsidR="00B80B58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votos</w:t>
      </w:r>
      <w:r w:rsidR="005327FE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, </w:t>
      </w:r>
      <w:r w:rsidR="005327FE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emitiendo voto particular José Guadalupe Luna Hernández</w:t>
      </w:r>
      <w:r w:rsidR="00B80B58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 Ayuntamiento de Tecámac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 Comisionado Ponente</w:t>
      </w:r>
      <w:r w:rsidR="005327FE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 Javier Martínez Cruz</w:t>
      </w:r>
      <w:r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>.</w:t>
      </w:r>
      <w:r w:rsidR="00B80B58" w:rsidRPr="00932996">
        <w:rPr>
          <w:rFonts w:ascii="Palatino Linotype" w:eastAsiaTheme="minorHAnsi" w:hAnsi="Palatino Linotype"/>
          <w:sz w:val="16"/>
          <w:szCs w:val="16"/>
          <w:lang w:val="es-MX" w:eastAsia="en-US"/>
        </w:rPr>
        <w:t xml:space="preserve"> </w:t>
      </w:r>
    </w:p>
    <w:p w:rsidR="001D2FE5" w:rsidRPr="00932996" w:rsidRDefault="001D2FE5" w:rsidP="001D2FE5">
      <w:pPr>
        <w:pBdr>
          <w:bottom w:val="single" w:sz="12" w:space="4" w:color="auto"/>
        </w:pBdr>
        <w:tabs>
          <w:tab w:val="left" w:pos="3855"/>
        </w:tabs>
        <w:autoSpaceDE w:val="0"/>
        <w:autoSpaceDN w:val="0"/>
        <w:adjustRightInd w:val="0"/>
        <w:ind w:right="-91"/>
        <w:jc w:val="both"/>
        <w:rPr>
          <w:rFonts w:ascii="Palatino Linotype" w:hAnsi="Palatino Linotype" w:cs="Arial"/>
          <w:sz w:val="16"/>
          <w:szCs w:val="16"/>
        </w:rPr>
      </w:pPr>
      <w:r w:rsidRPr="00932996">
        <w:rPr>
          <w:rFonts w:ascii="Palatino Linotype" w:hAnsi="Palatino Linotype" w:cs="Arial"/>
          <w:sz w:val="16"/>
          <w:szCs w:val="16"/>
        </w:rPr>
        <w:tab/>
      </w:r>
    </w:p>
    <w:p w:rsidR="001D2FE5" w:rsidRPr="005C1180" w:rsidRDefault="001D2FE5" w:rsidP="001D2FE5">
      <w:pPr>
        <w:tabs>
          <w:tab w:val="left" w:pos="7830"/>
        </w:tabs>
        <w:rPr>
          <w:rFonts w:ascii="Palatino Linotype" w:hAnsi="Palatino Linotype" w:cstheme="minorHAnsi"/>
          <w:sz w:val="16"/>
          <w:szCs w:val="16"/>
        </w:rPr>
      </w:pPr>
      <w:r w:rsidRPr="00932996">
        <w:rPr>
          <w:rFonts w:ascii="Palatino Linotype" w:hAnsi="Palatino Linotype" w:cstheme="minorHAnsi"/>
          <w:b/>
          <w:sz w:val="16"/>
          <w:szCs w:val="16"/>
        </w:rPr>
        <w:t xml:space="preserve">Segunda Época                                                                                                                    </w:t>
      </w:r>
      <w:r w:rsidR="0022576C">
        <w:rPr>
          <w:rFonts w:ascii="Palatino Linotype" w:hAnsi="Palatino Linotype" w:cstheme="minorHAnsi"/>
          <w:b/>
          <w:sz w:val="16"/>
          <w:szCs w:val="16"/>
        </w:rPr>
        <w:tab/>
      </w:r>
      <w:r w:rsidR="00A9441E">
        <w:rPr>
          <w:rFonts w:ascii="Palatino Linotype" w:hAnsi="Palatino Linotype" w:cstheme="minorHAnsi"/>
          <w:b/>
          <w:sz w:val="16"/>
          <w:szCs w:val="16"/>
        </w:rPr>
        <w:t xml:space="preserve">          </w:t>
      </w:r>
      <w:r w:rsidRPr="00932996">
        <w:rPr>
          <w:rFonts w:ascii="Palatino Linotype" w:hAnsi="Palatino Linotype" w:cstheme="minorHAnsi"/>
          <w:b/>
          <w:sz w:val="16"/>
          <w:szCs w:val="16"/>
        </w:rPr>
        <w:t xml:space="preserve">Criterio Reiterado </w:t>
      </w:r>
      <w:r w:rsidR="00A3792B">
        <w:rPr>
          <w:rFonts w:ascii="Palatino Linotype" w:hAnsi="Palatino Linotype" w:cstheme="minorHAnsi"/>
          <w:b/>
          <w:sz w:val="16"/>
          <w:szCs w:val="16"/>
        </w:rPr>
        <w:t>04</w:t>
      </w:r>
      <w:r w:rsidRPr="00932996">
        <w:rPr>
          <w:rFonts w:ascii="Palatino Linotype" w:hAnsi="Palatino Linotype" w:cstheme="minorHAnsi"/>
          <w:b/>
          <w:sz w:val="16"/>
          <w:szCs w:val="16"/>
        </w:rPr>
        <w:t>/19</w:t>
      </w:r>
      <w:r w:rsidRPr="005C1180">
        <w:rPr>
          <w:rFonts w:ascii="Palatino Linotype" w:hAnsi="Palatino Linotype" w:cstheme="minorHAnsi"/>
          <w:b/>
          <w:sz w:val="16"/>
          <w:szCs w:val="16"/>
        </w:rPr>
        <w:t xml:space="preserve">                                                                           </w:t>
      </w:r>
    </w:p>
    <w:p w:rsidR="00A9441E" w:rsidRDefault="00A9441E" w:rsidP="00A9441E">
      <w:pPr>
        <w:jc w:val="center"/>
        <w:rPr>
          <w:sz w:val="16"/>
          <w:szCs w:val="16"/>
        </w:rPr>
      </w:pPr>
    </w:p>
    <w:p w:rsidR="00434871" w:rsidRPr="00A9441E" w:rsidRDefault="00E06F60" w:rsidP="00A9441E">
      <w:pPr>
        <w:jc w:val="center"/>
        <w:rPr>
          <w:sz w:val="16"/>
          <w:szCs w:val="16"/>
        </w:rPr>
      </w:pPr>
      <w:hyperlink r:id="rId7" w:history="1">
        <w:r w:rsidR="00A9441E" w:rsidRPr="00A9441E">
          <w:rPr>
            <w:rStyle w:val="Hipervnculo"/>
            <w:sz w:val="16"/>
            <w:szCs w:val="16"/>
          </w:rPr>
          <w:t>https://legislacion.edomex.gob.mx/sites/legislacion.edomex.gob.mx/files/files/pdf/gct/2019/dic181.</w:t>
        </w:r>
        <w:bookmarkStart w:id="0" w:name="_GoBack"/>
        <w:bookmarkEnd w:id="0"/>
        <w:r w:rsidR="00A9441E" w:rsidRPr="00A9441E">
          <w:rPr>
            <w:rStyle w:val="Hipervnculo"/>
            <w:sz w:val="16"/>
            <w:szCs w:val="16"/>
          </w:rPr>
          <w:t>pdf</w:t>
        </w:r>
      </w:hyperlink>
    </w:p>
    <w:sectPr w:rsidR="00434871" w:rsidRPr="00A9441E" w:rsidSect="0052163D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127" w:right="1134" w:bottom="1985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71" w:rsidRDefault="00434871" w:rsidP="00434871">
      <w:r>
        <w:separator/>
      </w:r>
    </w:p>
  </w:endnote>
  <w:endnote w:type="continuationSeparator" w:id="0">
    <w:p w:rsidR="00434871" w:rsidRDefault="00434871" w:rsidP="0043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A9" w:rsidRDefault="00716A1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A9441E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A9441E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F7625D" w:rsidRDefault="00E06F60" w:rsidP="00211B84">
    <w:pPr>
      <w:pStyle w:val="Piedepgina"/>
      <w:tabs>
        <w:tab w:val="clear" w:pos="4252"/>
        <w:tab w:val="clear" w:pos="8504"/>
      </w:tabs>
      <w:ind w:right="88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71" w:rsidRDefault="00434871" w:rsidP="00434871">
      <w:r>
        <w:separator/>
      </w:r>
    </w:p>
  </w:footnote>
  <w:footnote w:type="continuationSeparator" w:id="0">
    <w:p w:rsidR="00434871" w:rsidRDefault="00434871" w:rsidP="00434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E06F6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09.6pt;height:793.9pt;z-index:-251657216;mso-position-horizontal:center;mso-position-horizontal-relative:margin;mso-position-vertical:center;mso-position-vertical-relative:margin" o:allowincell="f">
          <v:imagedata r:id="rId1" o:title="HOJA MEMBRETADA INFOEM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45" w:rsidRPr="00B82257" w:rsidRDefault="00716A14" w:rsidP="00795745">
    <w:pPr>
      <w:pStyle w:val="Encabezado"/>
      <w:tabs>
        <w:tab w:val="left" w:pos="7410"/>
      </w:tabs>
      <w:jc w:val="right"/>
      <w:rPr>
        <w:rFonts w:ascii="Palatino Linotype" w:hAnsi="Palatino Linotype"/>
        <w:sz w:val="16"/>
        <w:szCs w:val="16"/>
      </w:rPr>
    </w:pPr>
    <w:r w:rsidRPr="00B82257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6192" behindDoc="1" locked="0" layoutInCell="1" allowOverlap="1" wp14:anchorId="719F4713" wp14:editId="06768FA7">
          <wp:simplePos x="0" y="0"/>
          <wp:positionH relativeFrom="page">
            <wp:align>left</wp:align>
          </wp:positionH>
          <wp:positionV relativeFrom="paragraph">
            <wp:posOffset>-450137</wp:posOffset>
          </wp:positionV>
          <wp:extent cx="7604125" cy="1026541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26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2257">
      <w:rPr>
        <w:rFonts w:ascii="Palatino Linotype" w:hAnsi="Palatino Linotype"/>
        <w:sz w:val="16"/>
        <w:szCs w:val="16"/>
      </w:rPr>
      <w:t xml:space="preserve">“2019. Año del Centésimo Aniversario Luctuoso de Emiliano Zapata Salazar. El Caudillo del Sur." </w:t>
    </w:r>
  </w:p>
  <w:p w:rsidR="00F7625D" w:rsidRDefault="00716A14" w:rsidP="0052163D">
    <w:pPr>
      <w:tabs>
        <w:tab w:val="center" w:pos="7964"/>
        <w:tab w:val="right" w:pos="9974"/>
      </w:tabs>
      <w:ind w:left="5954"/>
      <w:rPr>
        <w:rFonts w:ascii="Palatino Linotype" w:eastAsia="Calibri" w:hAnsi="Palatino Linotype"/>
        <w:b/>
        <w:szCs w:val="21"/>
        <w:lang w:val="es-MX" w:eastAsia="en-US"/>
      </w:rPr>
    </w:pPr>
    <w:r>
      <w:rPr>
        <w:rFonts w:ascii="Palatino Linotype" w:eastAsia="Calibri" w:hAnsi="Palatino Linotype"/>
        <w:b/>
        <w:szCs w:val="21"/>
        <w:lang w:val="es-MX" w:eastAsia="en-US"/>
      </w:rPr>
      <w:tab/>
    </w:r>
  </w:p>
  <w:p w:rsidR="00AB3A48" w:rsidRPr="002E4101" w:rsidRDefault="00E06F60" w:rsidP="002E4101">
    <w:pPr>
      <w:jc w:val="right"/>
      <w:rPr>
        <w:rFonts w:ascii="Palatino Linotype" w:eastAsia="Calibri" w:hAnsi="Palatino Linotype"/>
        <w:b/>
        <w:szCs w:val="21"/>
        <w:lang w:val="es-MX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Pr="0052163D" w:rsidRDefault="00E06F60" w:rsidP="0052163D">
    <w:pPr>
      <w:pStyle w:val="Encabezado"/>
      <w:tabs>
        <w:tab w:val="clear" w:pos="4252"/>
        <w:tab w:val="clear" w:pos="8504"/>
        <w:tab w:val="left" w:pos="9206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B46B2"/>
    <w:multiLevelType w:val="hybridMultilevel"/>
    <w:tmpl w:val="BBF40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71"/>
    <w:rsid w:val="00030BC1"/>
    <w:rsid w:val="000A222F"/>
    <w:rsid w:val="000B465D"/>
    <w:rsid w:val="000C17F4"/>
    <w:rsid w:val="001A4D44"/>
    <w:rsid w:val="001C0B1E"/>
    <w:rsid w:val="001D2FE5"/>
    <w:rsid w:val="001E0642"/>
    <w:rsid w:val="00221D52"/>
    <w:rsid w:val="0022576C"/>
    <w:rsid w:val="00291D28"/>
    <w:rsid w:val="00301F42"/>
    <w:rsid w:val="00344EAE"/>
    <w:rsid w:val="00430FCD"/>
    <w:rsid w:val="00434871"/>
    <w:rsid w:val="0045216E"/>
    <w:rsid w:val="00474A24"/>
    <w:rsid w:val="00494375"/>
    <w:rsid w:val="004D22D7"/>
    <w:rsid w:val="005327FE"/>
    <w:rsid w:val="005C1180"/>
    <w:rsid w:val="00652939"/>
    <w:rsid w:val="00716A14"/>
    <w:rsid w:val="0074008F"/>
    <w:rsid w:val="00750970"/>
    <w:rsid w:val="00811283"/>
    <w:rsid w:val="008149CD"/>
    <w:rsid w:val="008372A7"/>
    <w:rsid w:val="00841146"/>
    <w:rsid w:val="00841C61"/>
    <w:rsid w:val="0086602A"/>
    <w:rsid w:val="008F3D50"/>
    <w:rsid w:val="00932996"/>
    <w:rsid w:val="0093600A"/>
    <w:rsid w:val="0094416C"/>
    <w:rsid w:val="00984A09"/>
    <w:rsid w:val="009D2706"/>
    <w:rsid w:val="009F129A"/>
    <w:rsid w:val="00A02A8A"/>
    <w:rsid w:val="00A229DA"/>
    <w:rsid w:val="00A3792B"/>
    <w:rsid w:val="00A67FE5"/>
    <w:rsid w:val="00A9441E"/>
    <w:rsid w:val="00AB1993"/>
    <w:rsid w:val="00AB7F14"/>
    <w:rsid w:val="00B5068F"/>
    <w:rsid w:val="00B80B58"/>
    <w:rsid w:val="00BD5D3C"/>
    <w:rsid w:val="00C41A36"/>
    <w:rsid w:val="00C723CF"/>
    <w:rsid w:val="00D15D1F"/>
    <w:rsid w:val="00E06F60"/>
    <w:rsid w:val="00E33A1F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355CBF-A743-4352-A39A-D06CC79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348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348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348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8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3487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3487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34871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48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487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94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cion.edomex.gob.mx/sites/legislacion.edomex.gob.mx/files/files/pdf/gct/2019/dic18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INFOEM</dc:creator>
  <cp:keywords/>
  <dc:description/>
  <cp:lastModifiedBy>USUARIO</cp:lastModifiedBy>
  <cp:revision>33</cp:revision>
  <cp:lastPrinted>2019-10-14T14:36:00Z</cp:lastPrinted>
  <dcterms:created xsi:type="dcterms:W3CDTF">2019-09-30T21:44:00Z</dcterms:created>
  <dcterms:modified xsi:type="dcterms:W3CDTF">2020-02-13T00:25:00Z</dcterms:modified>
</cp:coreProperties>
</file>