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01" w:rsidRPr="00330555" w:rsidRDefault="00330555" w:rsidP="00330555">
      <w:pPr>
        <w:jc w:val="both"/>
        <w:rPr>
          <w:rFonts w:ascii="Palatino Linotype" w:hAnsi="Palatino Linotype"/>
          <w:b/>
          <w:sz w:val="23"/>
          <w:szCs w:val="23"/>
        </w:rPr>
      </w:pPr>
      <w:r w:rsidRPr="00330555">
        <w:rPr>
          <w:rFonts w:ascii="Palatino Linotype" w:hAnsi="Palatino Linotype"/>
          <w:b/>
          <w:bCs/>
          <w:sz w:val="23"/>
          <w:szCs w:val="23"/>
        </w:rPr>
        <w:t xml:space="preserve">VISTA A LA CONTRALORÍA INTERNA Y ÓRGANO DE CONTROL Y VIGILANCIA DEL INSTITUTO. LO JUSTIFICA LA FALTA DE RESPUESTA POR PARTE DEL SUJETO OBLIGADO A LAS SOLICITUDES DE ACCESO A LA INFORMACIÓN PÚBLICA Y EJERCICIO DE DERECHOS ARCO. </w:t>
      </w:r>
      <w:r w:rsidRPr="00330555">
        <w:rPr>
          <w:rFonts w:ascii="Palatino Linotype" w:hAnsi="Palatino Linotype"/>
          <w:sz w:val="23"/>
          <w:szCs w:val="23"/>
        </w:rPr>
        <w:t>De conformidad con el artículo 150 de la Ley de Transparencia y Acceso a la Información Pública del Estado de México y Municipios, el procedimiento de acceso a la información es la garantía primaria del derecho en cuestión, siendo la recepción de una solicitud y su respuesta elementos esenciales dentro de dicho procedimiento; por otro lado, en términos de los artículos 163 y 166 párrafo cuarto de la Ley de Transparencia, y el diverso 108 de la Ley de Protección de Datos Personales en Posesión de Sujetos Obligados del Estado de México y Municipios, el titular de la Unidad de Transparencia del Sujeto Obligado deberá notificar la respuesta a las solicitudes de información en el menor tiempo posible, sin que éste exceda del plazo de quince días tratándose del derecho de acceso a la información pública y de veinte días en el ejercicio de derechos ARCO y en su caso, de la prórroga previamente aprobada sobre dichos términos, pues en el supuesto de no hacerse así, el solicitante podrá interponer recurso de revisión en contra de la falta de respuesta. Bajo ese tenor, resulta indudable que al tratarse de una garantía primaria de los referidos derechos, los Sujetos Obligados a través de las Unidades de Transparencia deberán dar trámite y respuesta a las solicitudes de información y derechos ARCO, en los términos y condiciones establecidas por la Ley de Transparencia y Ley de Protección de Datos Personales en Posesión de Sujetos Obligados vigentes en la entidad y, en caso de desatender el referido procedimiento, la interposición de un recurso de revisión en contra de la negativa de respuesta por un Sujeto Obligado -por la propia y especial naturaleza de la infracción- dará lugar a que el Pleno del Instituto, a través de la resolución a los recursos de revisión de referencia, dé vista a la Contraloría Interna y Órgano de Control y Vigilancia del Instituto, con sustento en lo dispuesto en los artículos 36, fracción XXXVIII y 190 de la Ley de Transparencia Local, para los efectos a que haya lugar.</w:t>
      </w:r>
    </w:p>
    <w:p w:rsidR="008000D3" w:rsidRPr="004E7EA4" w:rsidRDefault="008000D3" w:rsidP="00A85A83">
      <w:pPr>
        <w:jc w:val="both"/>
        <w:rPr>
          <w:rFonts w:ascii="Palatino Linotype" w:hAnsi="Palatino Linotype"/>
          <w:sz w:val="12"/>
          <w:szCs w:val="12"/>
        </w:rPr>
      </w:pPr>
    </w:p>
    <w:p w:rsidR="00A85A83" w:rsidRPr="00330555" w:rsidRDefault="00A85A83" w:rsidP="00A85A83">
      <w:pPr>
        <w:jc w:val="both"/>
        <w:rPr>
          <w:rFonts w:ascii="Palatino Linotype" w:hAnsi="Palatino Linotype"/>
          <w:b/>
          <w:sz w:val="20"/>
          <w:szCs w:val="20"/>
        </w:rPr>
      </w:pPr>
      <w:r w:rsidRPr="00330555">
        <w:rPr>
          <w:rFonts w:ascii="Palatino Linotype" w:hAnsi="Palatino Linotype"/>
          <w:b/>
          <w:sz w:val="20"/>
          <w:szCs w:val="20"/>
        </w:rPr>
        <w:t>Precedentes</w:t>
      </w:r>
    </w:p>
    <w:p w:rsidR="00A85A83" w:rsidRPr="00330555" w:rsidRDefault="00A85A83" w:rsidP="00A85A83">
      <w:pPr>
        <w:jc w:val="both"/>
        <w:rPr>
          <w:rFonts w:ascii="Palatino Linotype" w:hAnsi="Palatino Linotype"/>
          <w:b/>
          <w:sz w:val="20"/>
          <w:szCs w:val="20"/>
          <w:highlight w:val="yellow"/>
        </w:rPr>
      </w:pPr>
    </w:p>
    <w:p w:rsidR="00A85A83" w:rsidRPr="00330555" w:rsidRDefault="00A85A83" w:rsidP="00A85A83">
      <w:pPr>
        <w:numPr>
          <w:ilvl w:val="0"/>
          <w:numId w:val="2"/>
        </w:numPr>
        <w:contextualSpacing/>
        <w:jc w:val="both"/>
        <w:rPr>
          <w:rFonts w:ascii="Palatino Linotype" w:hAnsi="Palatino Linotype"/>
          <w:sz w:val="20"/>
          <w:szCs w:val="20"/>
        </w:rPr>
      </w:pPr>
      <w:r w:rsidRPr="00330555">
        <w:rPr>
          <w:rFonts w:ascii="Palatino Linotype" w:hAnsi="Palatino Linotype"/>
          <w:sz w:val="20"/>
          <w:szCs w:val="20"/>
        </w:rPr>
        <w:t>En materia de acceso a la información</w:t>
      </w:r>
      <w:r w:rsidR="002938C1" w:rsidRPr="00330555">
        <w:rPr>
          <w:rFonts w:ascii="Palatino Linotype" w:hAnsi="Palatino Linotype"/>
          <w:sz w:val="20"/>
          <w:szCs w:val="20"/>
        </w:rPr>
        <w:t xml:space="preserve"> pública</w:t>
      </w:r>
      <w:r w:rsidR="007F338B" w:rsidRPr="00330555">
        <w:rPr>
          <w:rFonts w:ascii="Palatino Linotype" w:hAnsi="Palatino Linotype"/>
          <w:sz w:val="20"/>
          <w:szCs w:val="20"/>
        </w:rPr>
        <w:t>. 06740/INFOEM/IP/RR/2019</w:t>
      </w:r>
      <w:r w:rsidRPr="00330555">
        <w:rPr>
          <w:rFonts w:ascii="Palatino Linotype" w:hAnsi="Palatino Linotype"/>
          <w:sz w:val="20"/>
          <w:szCs w:val="20"/>
        </w:rPr>
        <w:t>. Aprobado por unanimidad de votos, emitiendo voto particular el Comisionado</w:t>
      </w:r>
      <w:r w:rsidRPr="00330555">
        <w:rPr>
          <w:sz w:val="20"/>
          <w:szCs w:val="20"/>
        </w:rPr>
        <w:t xml:space="preserve"> </w:t>
      </w:r>
      <w:r w:rsidRPr="00330555">
        <w:rPr>
          <w:rFonts w:ascii="Palatino Linotype" w:hAnsi="Palatino Linotype"/>
          <w:sz w:val="20"/>
          <w:szCs w:val="20"/>
        </w:rPr>
        <w:t>José Guadalupe Luna Hernández. Ayuntamiento de</w:t>
      </w:r>
      <w:r w:rsidR="007F338B" w:rsidRPr="00330555">
        <w:rPr>
          <w:rFonts w:ascii="Palatino Linotype" w:hAnsi="Palatino Linotype"/>
          <w:sz w:val="20"/>
          <w:szCs w:val="20"/>
        </w:rPr>
        <w:t xml:space="preserve"> Atizapán</w:t>
      </w:r>
      <w:r w:rsidRPr="00330555">
        <w:rPr>
          <w:rFonts w:ascii="Palatino Linotype" w:hAnsi="Palatino Linotype"/>
          <w:sz w:val="20"/>
          <w:szCs w:val="20"/>
        </w:rPr>
        <w:t xml:space="preserve">. Comisionada Ponente Zulema Martínez Sánchez. </w:t>
      </w:r>
    </w:p>
    <w:p w:rsidR="007F338B" w:rsidRPr="00330555" w:rsidRDefault="007F338B" w:rsidP="007F338B">
      <w:pPr>
        <w:numPr>
          <w:ilvl w:val="0"/>
          <w:numId w:val="2"/>
        </w:numPr>
        <w:contextualSpacing/>
        <w:jc w:val="both"/>
        <w:rPr>
          <w:rFonts w:ascii="Palatino Linotype" w:hAnsi="Palatino Linotype"/>
          <w:sz w:val="20"/>
          <w:szCs w:val="20"/>
        </w:rPr>
      </w:pPr>
      <w:r w:rsidRPr="00330555">
        <w:rPr>
          <w:rFonts w:ascii="Palatino Linotype" w:hAnsi="Palatino Linotype"/>
          <w:sz w:val="20"/>
          <w:szCs w:val="20"/>
        </w:rPr>
        <w:t>En materia de acceso a la información pública. 07007/INFOEM/IP/RR/2019. Aprobado por unanimidad de votos. Ayuntamiento de Naucalpan de Juárez. Comisionada</w:t>
      </w:r>
      <w:r w:rsidR="00EB261A" w:rsidRPr="00330555">
        <w:rPr>
          <w:rFonts w:ascii="Palatino Linotype" w:hAnsi="Palatino Linotype"/>
          <w:sz w:val="20"/>
          <w:szCs w:val="20"/>
        </w:rPr>
        <w:t xml:space="preserve"> Ponente Eva Abaid Yapur</w:t>
      </w:r>
      <w:r w:rsidRPr="00330555">
        <w:rPr>
          <w:rFonts w:ascii="Palatino Linotype" w:hAnsi="Palatino Linotype"/>
          <w:sz w:val="20"/>
          <w:szCs w:val="20"/>
        </w:rPr>
        <w:t xml:space="preserve">. </w:t>
      </w:r>
    </w:p>
    <w:p w:rsidR="007F338B" w:rsidRPr="00330555" w:rsidRDefault="007F338B" w:rsidP="007F338B">
      <w:pPr>
        <w:numPr>
          <w:ilvl w:val="0"/>
          <w:numId w:val="2"/>
        </w:numPr>
        <w:contextualSpacing/>
        <w:jc w:val="both"/>
        <w:rPr>
          <w:rFonts w:ascii="Palatino Linotype" w:hAnsi="Palatino Linotype"/>
          <w:sz w:val="20"/>
          <w:szCs w:val="20"/>
        </w:rPr>
      </w:pPr>
      <w:r w:rsidRPr="00330555">
        <w:rPr>
          <w:rFonts w:ascii="Palatino Linotype" w:hAnsi="Palatino Linotype"/>
          <w:sz w:val="20"/>
          <w:szCs w:val="20"/>
        </w:rPr>
        <w:t>En materia de acceso a la información pública. 0</w:t>
      </w:r>
      <w:r w:rsidR="007B032C" w:rsidRPr="00330555">
        <w:rPr>
          <w:rFonts w:ascii="Palatino Linotype" w:hAnsi="Palatino Linotype"/>
          <w:sz w:val="20"/>
          <w:szCs w:val="20"/>
        </w:rPr>
        <w:t>6486/INFOEM/IP/RR/2019</w:t>
      </w:r>
      <w:r w:rsidRPr="00330555">
        <w:rPr>
          <w:rFonts w:ascii="Palatino Linotype" w:hAnsi="Palatino Linotype"/>
          <w:sz w:val="20"/>
          <w:szCs w:val="20"/>
        </w:rPr>
        <w:t>. A</w:t>
      </w:r>
      <w:r w:rsidR="007B032C" w:rsidRPr="00330555">
        <w:rPr>
          <w:rFonts w:ascii="Palatino Linotype" w:hAnsi="Palatino Linotype"/>
          <w:sz w:val="20"/>
          <w:szCs w:val="20"/>
        </w:rPr>
        <w:t xml:space="preserve">probado por unanimidad de votos. Ayuntamiento de </w:t>
      </w:r>
      <w:proofErr w:type="spellStart"/>
      <w:r w:rsidR="007B032C" w:rsidRPr="00330555">
        <w:rPr>
          <w:rFonts w:ascii="Palatino Linotype" w:hAnsi="Palatino Linotype"/>
          <w:sz w:val="20"/>
          <w:szCs w:val="20"/>
        </w:rPr>
        <w:t>Tequixquiac</w:t>
      </w:r>
      <w:proofErr w:type="spellEnd"/>
      <w:r w:rsidR="007B032C" w:rsidRPr="00330555">
        <w:rPr>
          <w:rFonts w:ascii="Palatino Linotype" w:hAnsi="Palatino Linotype"/>
          <w:sz w:val="20"/>
          <w:szCs w:val="20"/>
        </w:rPr>
        <w:t>. Comisionado</w:t>
      </w:r>
      <w:r w:rsidRPr="00330555">
        <w:rPr>
          <w:rFonts w:ascii="Palatino Linotype" w:hAnsi="Palatino Linotype"/>
          <w:sz w:val="20"/>
          <w:szCs w:val="20"/>
        </w:rPr>
        <w:t xml:space="preserve"> Ponente</w:t>
      </w:r>
      <w:r w:rsidR="007B032C" w:rsidRPr="00330555">
        <w:rPr>
          <w:rFonts w:ascii="Palatino Linotype" w:hAnsi="Palatino Linotype"/>
          <w:sz w:val="20"/>
          <w:szCs w:val="20"/>
        </w:rPr>
        <w:t xml:space="preserve"> Luis Gustavo Parra Noriega</w:t>
      </w:r>
      <w:r w:rsidRPr="00330555">
        <w:rPr>
          <w:rFonts w:ascii="Palatino Linotype" w:hAnsi="Palatino Linotype"/>
          <w:sz w:val="20"/>
          <w:szCs w:val="20"/>
        </w:rPr>
        <w:t xml:space="preserve">. </w:t>
      </w:r>
    </w:p>
    <w:p w:rsidR="00A85A83" w:rsidRPr="00330555" w:rsidRDefault="00A85A83" w:rsidP="00A85A83">
      <w:pPr>
        <w:jc w:val="both"/>
        <w:rPr>
          <w:rFonts w:ascii="Palatino Linotype" w:hAnsi="Palatino Linotype"/>
          <w:color w:val="FF0000"/>
          <w:sz w:val="20"/>
          <w:szCs w:val="20"/>
        </w:rPr>
      </w:pP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85A83" w:rsidRPr="00330555" w:rsidTr="001E19FC">
        <w:trPr>
          <w:trHeight w:val="498"/>
          <w:jc w:val="center"/>
        </w:trPr>
        <w:tc>
          <w:tcPr>
            <w:tcW w:w="4414" w:type="dxa"/>
          </w:tcPr>
          <w:p w:rsidR="00A85A83" w:rsidRPr="00330555" w:rsidRDefault="00A85A83" w:rsidP="001E19FC">
            <w:pPr>
              <w:tabs>
                <w:tab w:val="left" w:pos="7830"/>
              </w:tabs>
              <w:rPr>
                <w:rFonts w:ascii="Palatino Linotype" w:hAnsi="Palatino Linotype" w:cs="Arial"/>
                <w:b/>
                <w:sz w:val="20"/>
                <w:szCs w:val="20"/>
              </w:rPr>
            </w:pPr>
            <w:r w:rsidRPr="00330555">
              <w:rPr>
                <w:rFonts w:ascii="Palatino Linotype" w:hAnsi="Palatino Linotype" w:cs="Arial"/>
                <w:b/>
                <w:color w:val="000000" w:themeColor="text1"/>
                <w:sz w:val="20"/>
                <w:szCs w:val="20"/>
              </w:rPr>
              <w:t>Segunda Época</w:t>
            </w:r>
          </w:p>
        </w:tc>
        <w:tc>
          <w:tcPr>
            <w:tcW w:w="4414" w:type="dxa"/>
          </w:tcPr>
          <w:p w:rsidR="00A85A83" w:rsidRPr="00330555" w:rsidRDefault="00A21E1E" w:rsidP="001E19FC">
            <w:pPr>
              <w:tabs>
                <w:tab w:val="left" w:pos="7830"/>
              </w:tabs>
              <w:jc w:val="right"/>
              <w:rPr>
                <w:rFonts w:ascii="Palatino Linotype" w:hAnsi="Palatino Linotype" w:cs="Arial"/>
                <w:b/>
                <w:sz w:val="20"/>
                <w:szCs w:val="20"/>
              </w:rPr>
            </w:pPr>
            <w:r>
              <w:rPr>
                <w:rFonts w:ascii="Palatino Linotype" w:hAnsi="Palatino Linotype" w:cs="Arial"/>
                <w:b/>
                <w:color w:val="000000" w:themeColor="text1"/>
                <w:sz w:val="20"/>
                <w:szCs w:val="20"/>
              </w:rPr>
              <w:t xml:space="preserve"> </w:t>
            </w:r>
            <w:r w:rsidR="00A85A83" w:rsidRPr="00330555">
              <w:rPr>
                <w:rFonts w:ascii="Palatino Linotype" w:hAnsi="Palatino Linotype" w:cs="Arial"/>
                <w:b/>
                <w:color w:val="000000" w:themeColor="text1"/>
                <w:sz w:val="20"/>
                <w:szCs w:val="20"/>
              </w:rPr>
              <w:t xml:space="preserve">Criterio Reiterado </w:t>
            </w:r>
            <w:r w:rsidR="00F45801" w:rsidRPr="00330555">
              <w:rPr>
                <w:rFonts w:ascii="Palatino Linotype" w:hAnsi="Palatino Linotype" w:cs="Arial"/>
                <w:b/>
                <w:color w:val="000000" w:themeColor="text1"/>
                <w:sz w:val="20"/>
                <w:szCs w:val="20"/>
              </w:rPr>
              <w:t>07</w:t>
            </w:r>
            <w:r w:rsidR="00A85A83" w:rsidRPr="00330555">
              <w:rPr>
                <w:rFonts w:ascii="Palatino Linotype" w:hAnsi="Palatino Linotype" w:cs="Arial"/>
                <w:b/>
                <w:color w:val="000000" w:themeColor="text1"/>
                <w:sz w:val="20"/>
                <w:szCs w:val="20"/>
              </w:rPr>
              <w:t>/19</w:t>
            </w:r>
          </w:p>
        </w:tc>
      </w:tr>
    </w:tbl>
    <w:p w:rsidR="0078258A" w:rsidRPr="00330555" w:rsidRDefault="00AE4E7F" w:rsidP="00330555">
      <w:pPr>
        <w:jc w:val="center"/>
        <w:rPr>
          <w:rFonts w:ascii="Palatino Linotype" w:eastAsiaTheme="minorHAnsi" w:hAnsi="Palatino Linotype" w:cs="Arial"/>
          <w:b/>
          <w:sz w:val="16"/>
          <w:szCs w:val="16"/>
          <w:lang w:val="es-MX" w:eastAsia="en-US"/>
        </w:rPr>
      </w:pPr>
      <w:hyperlink r:id="rId8" w:history="1">
        <w:r w:rsidR="00330555" w:rsidRPr="00330555">
          <w:rPr>
            <w:rStyle w:val="Hipervnculo"/>
            <w:rFonts w:ascii="Palatino Linotype" w:eastAsiaTheme="minorHAnsi" w:hAnsi="Palatino Linotype" w:cs="Arial"/>
            <w:b/>
            <w:sz w:val="16"/>
            <w:szCs w:val="16"/>
            <w:lang w:eastAsia="en-US"/>
          </w:rPr>
          <w:t>https://legislacion.edomex.gob.mx/sites/legislacion.edomex.gob.mx/files/files/pdf/gct/2019/</w:t>
        </w:r>
        <w:bookmarkStart w:id="0" w:name="_GoBack"/>
        <w:bookmarkEnd w:id="0"/>
        <w:r w:rsidR="00330555" w:rsidRPr="00330555">
          <w:rPr>
            <w:rStyle w:val="Hipervnculo"/>
            <w:rFonts w:ascii="Palatino Linotype" w:eastAsiaTheme="minorHAnsi" w:hAnsi="Palatino Linotype" w:cs="Arial"/>
            <w:b/>
            <w:sz w:val="16"/>
            <w:szCs w:val="16"/>
            <w:lang w:eastAsia="en-US"/>
          </w:rPr>
          <w:t>dic181.pdf</w:t>
        </w:r>
      </w:hyperlink>
    </w:p>
    <w:sectPr w:rsidR="0078258A" w:rsidRPr="00330555" w:rsidSect="009A5EB7">
      <w:headerReference w:type="even" r:id="rId9"/>
      <w:headerReference w:type="default" r:id="rId10"/>
      <w:footerReference w:type="default" r:id="rId11"/>
      <w:headerReference w:type="first" r:id="rId12"/>
      <w:pgSz w:w="12242" w:h="15842" w:code="1"/>
      <w:pgMar w:top="2127" w:right="1134" w:bottom="1985" w:left="1134" w:header="39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C6E" w:rsidRDefault="00FF6C6E">
      <w:r>
        <w:separator/>
      </w:r>
    </w:p>
  </w:endnote>
  <w:endnote w:type="continuationSeparator" w:id="0">
    <w:p w:rsidR="00FF6C6E" w:rsidRDefault="00FF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DF0" w:rsidRDefault="00EC5DF0">
    <w:pPr>
      <w:tabs>
        <w:tab w:val="center" w:pos="4550"/>
        <w:tab w:val="left" w:pos="5818"/>
      </w:tabs>
      <w:ind w:right="260"/>
      <w:jc w:val="right"/>
      <w:rPr>
        <w:color w:val="222A35" w:themeColor="text2" w:themeShade="80"/>
      </w:rPr>
    </w:pPr>
    <w:r>
      <w:rPr>
        <w:color w:val="8496B0" w:themeColor="text2" w:themeTint="99"/>
        <w:spacing w:val="60"/>
      </w:rPr>
      <w:t>Página</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330555">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330555">
      <w:rPr>
        <w:noProof/>
        <w:color w:val="323E4F" w:themeColor="text2" w:themeShade="BF"/>
      </w:rPr>
      <w:t>2</w:t>
    </w:r>
    <w:r>
      <w:rPr>
        <w:color w:val="323E4F" w:themeColor="text2" w:themeShade="BF"/>
      </w:rPr>
      <w:fldChar w:fldCharType="end"/>
    </w:r>
  </w:p>
  <w:p w:rsidR="00F7625D" w:rsidRDefault="00AE4E7F" w:rsidP="00211B84">
    <w:pPr>
      <w:pStyle w:val="Piedepgina"/>
      <w:tabs>
        <w:tab w:val="clear" w:pos="4252"/>
        <w:tab w:val="clear" w:pos="8504"/>
      </w:tabs>
      <w:ind w:right="884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C6E" w:rsidRDefault="00FF6C6E">
      <w:r>
        <w:separator/>
      </w:r>
    </w:p>
  </w:footnote>
  <w:footnote w:type="continuationSeparator" w:id="0">
    <w:p w:rsidR="00FF6C6E" w:rsidRDefault="00FF6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Default="00AE4E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9.6pt;height:793.9pt;z-index:-251655168;mso-position-horizontal:center;mso-position-horizontal-relative:margin;mso-position-vertical:center;mso-position-vertical-relative:margin" o:allowincell="f">
          <v:imagedata r:id="rId1" o:title="HOJA MEMBRETADA INFOEM"/>
          <w10:wrap anchorx="margin" anchory="margin"/>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745" w:rsidRPr="005C4D8F" w:rsidRDefault="0052163D" w:rsidP="00795745">
    <w:pPr>
      <w:pStyle w:val="Encabezado"/>
      <w:tabs>
        <w:tab w:val="left" w:pos="7410"/>
      </w:tabs>
      <w:jc w:val="right"/>
      <w:rPr>
        <w:rFonts w:ascii="Palatino Linotype" w:hAnsi="Palatino Linotype"/>
        <w:sz w:val="16"/>
        <w:szCs w:val="16"/>
      </w:rPr>
    </w:pPr>
    <w:r w:rsidRPr="00CA6595">
      <w:rPr>
        <w:noProof/>
        <w:szCs w:val="21"/>
        <w:lang w:val="es-MX" w:eastAsia="es-MX"/>
      </w:rPr>
      <w:drawing>
        <wp:anchor distT="0" distB="0" distL="114300" distR="114300" simplePos="0" relativeHeight="251659264" behindDoc="1" locked="0" layoutInCell="1" allowOverlap="1" wp14:anchorId="58CD6B04" wp14:editId="5B8F5045">
          <wp:simplePos x="0" y="0"/>
          <wp:positionH relativeFrom="page">
            <wp:align>left</wp:align>
          </wp:positionH>
          <wp:positionV relativeFrom="paragraph">
            <wp:posOffset>-450137</wp:posOffset>
          </wp:positionV>
          <wp:extent cx="7604125" cy="1026541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125" cy="10265410"/>
                  </a:xfrm>
                  <a:prstGeom prst="rect">
                    <a:avLst/>
                  </a:prstGeom>
                  <a:noFill/>
                  <a:ln>
                    <a:noFill/>
                  </a:ln>
                </pic:spPr>
              </pic:pic>
            </a:graphicData>
          </a:graphic>
        </wp:anchor>
      </w:drawing>
    </w:r>
    <w:r w:rsidR="002E4101" w:rsidRPr="002E4101">
      <w:rPr>
        <w:rFonts w:ascii="Palatino Linotype" w:hAnsi="Palatino Linotype"/>
        <w:sz w:val="18"/>
      </w:rPr>
      <w:t>“</w:t>
    </w:r>
    <w:r w:rsidR="002E4101" w:rsidRPr="005C4D8F">
      <w:rPr>
        <w:rFonts w:ascii="Palatino Linotype" w:hAnsi="Palatino Linotype"/>
        <w:sz w:val="16"/>
        <w:szCs w:val="16"/>
      </w:rPr>
      <w:t xml:space="preserve">2019. Año del Centésimo Aniversario Luctuoso de Emiliano Zapata Salazar. El Caudillo del Sur." </w:t>
    </w:r>
  </w:p>
  <w:p w:rsidR="00F7625D" w:rsidRDefault="0052163D" w:rsidP="0052163D">
    <w:pPr>
      <w:tabs>
        <w:tab w:val="center" w:pos="7964"/>
        <w:tab w:val="right" w:pos="9974"/>
      </w:tabs>
      <w:ind w:left="5954"/>
      <w:rPr>
        <w:rFonts w:ascii="Palatino Linotype" w:eastAsia="Calibri" w:hAnsi="Palatino Linotype"/>
        <w:b/>
        <w:szCs w:val="21"/>
        <w:lang w:val="es-MX" w:eastAsia="en-US"/>
      </w:rPr>
    </w:pPr>
    <w:r>
      <w:rPr>
        <w:rFonts w:ascii="Palatino Linotype" w:eastAsia="Calibri" w:hAnsi="Palatino Linotype"/>
        <w:b/>
        <w:szCs w:val="21"/>
        <w:lang w:val="es-MX" w:eastAsia="en-US"/>
      </w:rPr>
      <w:tab/>
    </w:r>
  </w:p>
  <w:p w:rsidR="00AB3A48" w:rsidRPr="002E4101" w:rsidRDefault="00AE4E7F" w:rsidP="002E4101">
    <w:pPr>
      <w:jc w:val="right"/>
      <w:rPr>
        <w:rFonts w:ascii="Palatino Linotype" w:eastAsia="Calibri" w:hAnsi="Palatino Linotype"/>
        <w:b/>
        <w:szCs w:val="21"/>
        <w:lang w:val="es-MX"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25D" w:rsidRPr="0052163D" w:rsidRDefault="00AE4E7F" w:rsidP="0052163D">
    <w:pPr>
      <w:pStyle w:val="Encabezado"/>
      <w:tabs>
        <w:tab w:val="clear" w:pos="4252"/>
        <w:tab w:val="clear" w:pos="8504"/>
        <w:tab w:val="left" w:pos="9206"/>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30DC4"/>
    <w:multiLevelType w:val="hybridMultilevel"/>
    <w:tmpl w:val="8DD6E068"/>
    <w:lvl w:ilvl="0" w:tplc="676C0BBC">
      <w:numFmt w:val="bullet"/>
      <w:lvlText w:val="•"/>
      <w:lvlJc w:val="left"/>
      <w:pPr>
        <w:ind w:left="1065" w:hanging="705"/>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5B"/>
    <w:rsid w:val="00007608"/>
    <w:rsid w:val="00011C1D"/>
    <w:rsid w:val="00024C88"/>
    <w:rsid w:val="00044828"/>
    <w:rsid w:val="00056DB9"/>
    <w:rsid w:val="000706BF"/>
    <w:rsid w:val="00073915"/>
    <w:rsid w:val="00081973"/>
    <w:rsid w:val="00084E5B"/>
    <w:rsid w:val="000A4B74"/>
    <w:rsid w:val="000A5A30"/>
    <w:rsid w:val="000B0522"/>
    <w:rsid w:val="000B5511"/>
    <w:rsid w:val="000C74D6"/>
    <w:rsid w:val="000D2BAD"/>
    <w:rsid w:val="000E7207"/>
    <w:rsid w:val="000E7625"/>
    <w:rsid w:val="000F0BD3"/>
    <w:rsid w:val="000F3085"/>
    <w:rsid w:val="001070FE"/>
    <w:rsid w:val="001078B2"/>
    <w:rsid w:val="0011376E"/>
    <w:rsid w:val="00146583"/>
    <w:rsid w:val="00152F2F"/>
    <w:rsid w:val="001734F3"/>
    <w:rsid w:val="00176CB9"/>
    <w:rsid w:val="00184DD9"/>
    <w:rsid w:val="00186DD5"/>
    <w:rsid w:val="00195791"/>
    <w:rsid w:val="001A0A5A"/>
    <w:rsid w:val="001A4954"/>
    <w:rsid w:val="001A5B1F"/>
    <w:rsid w:val="001B2082"/>
    <w:rsid w:val="001B2607"/>
    <w:rsid w:val="001C09CC"/>
    <w:rsid w:val="001E1460"/>
    <w:rsid w:val="001F7AC3"/>
    <w:rsid w:val="00226BB0"/>
    <w:rsid w:val="00251ABE"/>
    <w:rsid w:val="002550F9"/>
    <w:rsid w:val="0026079E"/>
    <w:rsid w:val="0026474F"/>
    <w:rsid w:val="002707C9"/>
    <w:rsid w:val="0027148F"/>
    <w:rsid w:val="0027693D"/>
    <w:rsid w:val="00281C91"/>
    <w:rsid w:val="002874F6"/>
    <w:rsid w:val="002938C1"/>
    <w:rsid w:val="00294AF5"/>
    <w:rsid w:val="002A3995"/>
    <w:rsid w:val="002A4F18"/>
    <w:rsid w:val="002C5DDB"/>
    <w:rsid w:val="002D0105"/>
    <w:rsid w:val="002D4228"/>
    <w:rsid w:val="002D7250"/>
    <w:rsid w:val="002E4101"/>
    <w:rsid w:val="002E4D5D"/>
    <w:rsid w:val="002F4CA6"/>
    <w:rsid w:val="00305691"/>
    <w:rsid w:val="003131D4"/>
    <w:rsid w:val="00330555"/>
    <w:rsid w:val="00330E57"/>
    <w:rsid w:val="00336C20"/>
    <w:rsid w:val="00366271"/>
    <w:rsid w:val="00373424"/>
    <w:rsid w:val="00373B2E"/>
    <w:rsid w:val="0039794C"/>
    <w:rsid w:val="003A3AAC"/>
    <w:rsid w:val="003D4F94"/>
    <w:rsid w:val="003F577D"/>
    <w:rsid w:val="0040532C"/>
    <w:rsid w:val="00407346"/>
    <w:rsid w:val="00411600"/>
    <w:rsid w:val="00414F6B"/>
    <w:rsid w:val="0041510A"/>
    <w:rsid w:val="00415765"/>
    <w:rsid w:val="004230A2"/>
    <w:rsid w:val="00423B64"/>
    <w:rsid w:val="004550CE"/>
    <w:rsid w:val="00473A8C"/>
    <w:rsid w:val="00484C16"/>
    <w:rsid w:val="00491886"/>
    <w:rsid w:val="004922D1"/>
    <w:rsid w:val="00492383"/>
    <w:rsid w:val="004B2917"/>
    <w:rsid w:val="004B4ECE"/>
    <w:rsid w:val="004B5838"/>
    <w:rsid w:val="004B5BF7"/>
    <w:rsid w:val="004C35FD"/>
    <w:rsid w:val="004C5B9A"/>
    <w:rsid w:val="004D097D"/>
    <w:rsid w:val="004E7EA4"/>
    <w:rsid w:val="005002C3"/>
    <w:rsid w:val="00500F12"/>
    <w:rsid w:val="00513F06"/>
    <w:rsid w:val="00517154"/>
    <w:rsid w:val="00520B13"/>
    <w:rsid w:val="0052163D"/>
    <w:rsid w:val="00525F76"/>
    <w:rsid w:val="0053389C"/>
    <w:rsid w:val="00534D44"/>
    <w:rsid w:val="0054165F"/>
    <w:rsid w:val="00551355"/>
    <w:rsid w:val="0055431C"/>
    <w:rsid w:val="00554431"/>
    <w:rsid w:val="00561DB8"/>
    <w:rsid w:val="00570CE6"/>
    <w:rsid w:val="00573A3A"/>
    <w:rsid w:val="00575D26"/>
    <w:rsid w:val="0058575D"/>
    <w:rsid w:val="005913E8"/>
    <w:rsid w:val="00592240"/>
    <w:rsid w:val="00595835"/>
    <w:rsid w:val="00596D6F"/>
    <w:rsid w:val="005A3BEC"/>
    <w:rsid w:val="005A4500"/>
    <w:rsid w:val="005A794C"/>
    <w:rsid w:val="005C4D8F"/>
    <w:rsid w:val="005C6F70"/>
    <w:rsid w:val="005D638D"/>
    <w:rsid w:val="005E5DB5"/>
    <w:rsid w:val="005F5B47"/>
    <w:rsid w:val="006011CE"/>
    <w:rsid w:val="00606A0B"/>
    <w:rsid w:val="00610E4C"/>
    <w:rsid w:val="0061352A"/>
    <w:rsid w:val="00614125"/>
    <w:rsid w:val="00615B58"/>
    <w:rsid w:val="006204F6"/>
    <w:rsid w:val="0064453F"/>
    <w:rsid w:val="00697F6D"/>
    <w:rsid w:val="006A08EC"/>
    <w:rsid w:val="006A1C40"/>
    <w:rsid w:val="006B55AC"/>
    <w:rsid w:val="006C146B"/>
    <w:rsid w:val="006D1CFB"/>
    <w:rsid w:val="006E35C0"/>
    <w:rsid w:val="00701C24"/>
    <w:rsid w:val="00702FEA"/>
    <w:rsid w:val="007046E6"/>
    <w:rsid w:val="00707BFF"/>
    <w:rsid w:val="00712D0E"/>
    <w:rsid w:val="0071447C"/>
    <w:rsid w:val="00716CB4"/>
    <w:rsid w:val="007246E8"/>
    <w:rsid w:val="00726664"/>
    <w:rsid w:val="00736958"/>
    <w:rsid w:val="00740AF4"/>
    <w:rsid w:val="007424A6"/>
    <w:rsid w:val="00746A1E"/>
    <w:rsid w:val="00761BBA"/>
    <w:rsid w:val="0077468D"/>
    <w:rsid w:val="0078258A"/>
    <w:rsid w:val="00784A98"/>
    <w:rsid w:val="00785A18"/>
    <w:rsid w:val="0079223C"/>
    <w:rsid w:val="007B032C"/>
    <w:rsid w:val="007B359E"/>
    <w:rsid w:val="007C3C1F"/>
    <w:rsid w:val="007D1B86"/>
    <w:rsid w:val="007D727A"/>
    <w:rsid w:val="007F338B"/>
    <w:rsid w:val="007F662E"/>
    <w:rsid w:val="008000D3"/>
    <w:rsid w:val="0080319B"/>
    <w:rsid w:val="0081754D"/>
    <w:rsid w:val="00817EB1"/>
    <w:rsid w:val="00820ED3"/>
    <w:rsid w:val="00831946"/>
    <w:rsid w:val="008358DC"/>
    <w:rsid w:val="008524FB"/>
    <w:rsid w:val="008525C6"/>
    <w:rsid w:val="00852B66"/>
    <w:rsid w:val="008533FB"/>
    <w:rsid w:val="00854DBE"/>
    <w:rsid w:val="0085729F"/>
    <w:rsid w:val="0086085A"/>
    <w:rsid w:val="00863428"/>
    <w:rsid w:val="00873632"/>
    <w:rsid w:val="0088188C"/>
    <w:rsid w:val="008879E1"/>
    <w:rsid w:val="0089738E"/>
    <w:rsid w:val="00897828"/>
    <w:rsid w:val="008A28FC"/>
    <w:rsid w:val="008B3DF7"/>
    <w:rsid w:val="008C1AAC"/>
    <w:rsid w:val="008E4E38"/>
    <w:rsid w:val="008F37DB"/>
    <w:rsid w:val="00900F0E"/>
    <w:rsid w:val="00901721"/>
    <w:rsid w:val="00906023"/>
    <w:rsid w:val="009118E6"/>
    <w:rsid w:val="009128B5"/>
    <w:rsid w:val="0091657E"/>
    <w:rsid w:val="00920817"/>
    <w:rsid w:val="00943927"/>
    <w:rsid w:val="00952B23"/>
    <w:rsid w:val="00954FF5"/>
    <w:rsid w:val="009606C7"/>
    <w:rsid w:val="00966551"/>
    <w:rsid w:val="0099295D"/>
    <w:rsid w:val="009978C4"/>
    <w:rsid w:val="009A1ECB"/>
    <w:rsid w:val="009A5EB7"/>
    <w:rsid w:val="009A6A0D"/>
    <w:rsid w:val="009A6B8B"/>
    <w:rsid w:val="009C0D33"/>
    <w:rsid w:val="009C7886"/>
    <w:rsid w:val="009D7EE5"/>
    <w:rsid w:val="009E764D"/>
    <w:rsid w:val="009F3F34"/>
    <w:rsid w:val="00A04244"/>
    <w:rsid w:val="00A04BB3"/>
    <w:rsid w:val="00A06AE3"/>
    <w:rsid w:val="00A06CE4"/>
    <w:rsid w:val="00A12871"/>
    <w:rsid w:val="00A1699C"/>
    <w:rsid w:val="00A21E1E"/>
    <w:rsid w:val="00A22F72"/>
    <w:rsid w:val="00A42F2C"/>
    <w:rsid w:val="00A44FBD"/>
    <w:rsid w:val="00A52EEF"/>
    <w:rsid w:val="00A55BA7"/>
    <w:rsid w:val="00A67202"/>
    <w:rsid w:val="00A75B2D"/>
    <w:rsid w:val="00A76E28"/>
    <w:rsid w:val="00A85A83"/>
    <w:rsid w:val="00A874EF"/>
    <w:rsid w:val="00A87FA3"/>
    <w:rsid w:val="00AB4D7F"/>
    <w:rsid w:val="00AC319C"/>
    <w:rsid w:val="00AC4671"/>
    <w:rsid w:val="00AD325F"/>
    <w:rsid w:val="00AE4E7F"/>
    <w:rsid w:val="00B0714A"/>
    <w:rsid w:val="00B20846"/>
    <w:rsid w:val="00B23D37"/>
    <w:rsid w:val="00B24530"/>
    <w:rsid w:val="00B31A68"/>
    <w:rsid w:val="00B37F60"/>
    <w:rsid w:val="00B46679"/>
    <w:rsid w:val="00B61E33"/>
    <w:rsid w:val="00B70B4F"/>
    <w:rsid w:val="00B71105"/>
    <w:rsid w:val="00B7231C"/>
    <w:rsid w:val="00B80AA8"/>
    <w:rsid w:val="00B827DE"/>
    <w:rsid w:val="00B8287D"/>
    <w:rsid w:val="00BA1C6E"/>
    <w:rsid w:val="00BA7FEC"/>
    <w:rsid w:val="00BB2627"/>
    <w:rsid w:val="00BB2D73"/>
    <w:rsid w:val="00BC363F"/>
    <w:rsid w:val="00BC6EF8"/>
    <w:rsid w:val="00BC74F6"/>
    <w:rsid w:val="00BE26A0"/>
    <w:rsid w:val="00C03E1C"/>
    <w:rsid w:val="00C052F8"/>
    <w:rsid w:val="00C05691"/>
    <w:rsid w:val="00C12C3E"/>
    <w:rsid w:val="00C1351E"/>
    <w:rsid w:val="00C23BB6"/>
    <w:rsid w:val="00C25097"/>
    <w:rsid w:val="00C268F5"/>
    <w:rsid w:val="00C33B4F"/>
    <w:rsid w:val="00C35DC5"/>
    <w:rsid w:val="00C37698"/>
    <w:rsid w:val="00C42906"/>
    <w:rsid w:val="00C458B3"/>
    <w:rsid w:val="00C86599"/>
    <w:rsid w:val="00C87F16"/>
    <w:rsid w:val="00C967A0"/>
    <w:rsid w:val="00CC29A4"/>
    <w:rsid w:val="00CE22F0"/>
    <w:rsid w:val="00CE6C1D"/>
    <w:rsid w:val="00CE77D5"/>
    <w:rsid w:val="00CF6C2F"/>
    <w:rsid w:val="00D0657E"/>
    <w:rsid w:val="00D105DB"/>
    <w:rsid w:val="00D143BD"/>
    <w:rsid w:val="00D304EC"/>
    <w:rsid w:val="00D340EE"/>
    <w:rsid w:val="00D373B9"/>
    <w:rsid w:val="00D40B2D"/>
    <w:rsid w:val="00D448BC"/>
    <w:rsid w:val="00D5705A"/>
    <w:rsid w:val="00D6320A"/>
    <w:rsid w:val="00D73132"/>
    <w:rsid w:val="00D7330D"/>
    <w:rsid w:val="00D76662"/>
    <w:rsid w:val="00D821E0"/>
    <w:rsid w:val="00D922DB"/>
    <w:rsid w:val="00D9288A"/>
    <w:rsid w:val="00D956CE"/>
    <w:rsid w:val="00D95E47"/>
    <w:rsid w:val="00DA4474"/>
    <w:rsid w:val="00DA515E"/>
    <w:rsid w:val="00DC5370"/>
    <w:rsid w:val="00DC7C54"/>
    <w:rsid w:val="00DD0574"/>
    <w:rsid w:val="00DD50CB"/>
    <w:rsid w:val="00DE5620"/>
    <w:rsid w:val="00DF778F"/>
    <w:rsid w:val="00E05F7A"/>
    <w:rsid w:val="00E13BBF"/>
    <w:rsid w:val="00E36A7C"/>
    <w:rsid w:val="00E44BFB"/>
    <w:rsid w:val="00E5037A"/>
    <w:rsid w:val="00E570F9"/>
    <w:rsid w:val="00E57D8D"/>
    <w:rsid w:val="00E6390C"/>
    <w:rsid w:val="00E65B12"/>
    <w:rsid w:val="00E65DC2"/>
    <w:rsid w:val="00E7513F"/>
    <w:rsid w:val="00E85595"/>
    <w:rsid w:val="00E95532"/>
    <w:rsid w:val="00EA3A5B"/>
    <w:rsid w:val="00EB0ECB"/>
    <w:rsid w:val="00EB2033"/>
    <w:rsid w:val="00EB261A"/>
    <w:rsid w:val="00EB51DE"/>
    <w:rsid w:val="00EC5DF0"/>
    <w:rsid w:val="00ED1F6F"/>
    <w:rsid w:val="00ED60DB"/>
    <w:rsid w:val="00EE22DB"/>
    <w:rsid w:val="00EF55A4"/>
    <w:rsid w:val="00EF6393"/>
    <w:rsid w:val="00F039A0"/>
    <w:rsid w:val="00F04480"/>
    <w:rsid w:val="00F072E9"/>
    <w:rsid w:val="00F334EE"/>
    <w:rsid w:val="00F45801"/>
    <w:rsid w:val="00F477F2"/>
    <w:rsid w:val="00F54383"/>
    <w:rsid w:val="00F63168"/>
    <w:rsid w:val="00F64C94"/>
    <w:rsid w:val="00F723C3"/>
    <w:rsid w:val="00F874AF"/>
    <w:rsid w:val="00F876EA"/>
    <w:rsid w:val="00F943F2"/>
    <w:rsid w:val="00F95AB3"/>
    <w:rsid w:val="00FA177F"/>
    <w:rsid w:val="00FA606B"/>
    <w:rsid w:val="00FA7F76"/>
    <w:rsid w:val="00FB697B"/>
    <w:rsid w:val="00FC26D3"/>
    <w:rsid w:val="00FD05D3"/>
    <w:rsid w:val="00FD3548"/>
    <w:rsid w:val="00FD3FBB"/>
    <w:rsid w:val="00FD55FC"/>
    <w:rsid w:val="00FE16D8"/>
    <w:rsid w:val="00FE31B7"/>
    <w:rsid w:val="00FE6F36"/>
    <w:rsid w:val="00FF6C6E"/>
    <w:rsid w:val="00FF75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4D8C826-44A5-4E92-86F0-F42CE91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5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84E5B"/>
    <w:pPr>
      <w:tabs>
        <w:tab w:val="center" w:pos="4252"/>
        <w:tab w:val="right" w:pos="8504"/>
      </w:tabs>
    </w:pPr>
  </w:style>
  <w:style w:type="character" w:customStyle="1" w:styleId="EncabezadoCar">
    <w:name w:val="Encabezado Car"/>
    <w:basedOn w:val="Fuentedeprrafopredeter"/>
    <w:link w:val="Encabezado"/>
    <w:rsid w:val="00084E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84E5B"/>
    <w:pPr>
      <w:tabs>
        <w:tab w:val="center" w:pos="4252"/>
        <w:tab w:val="right" w:pos="8504"/>
      </w:tabs>
    </w:pPr>
  </w:style>
  <w:style w:type="character" w:customStyle="1" w:styleId="PiedepginaCar">
    <w:name w:val="Pie de página Car"/>
    <w:basedOn w:val="Fuentedeprrafopredeter"/>
    <w:link w:val="Piedepgina"/>
    <w:uiPriority w:val="99"/>
    <w:rsid w:val="00084E5B"/>
    <w:rPr>
      <w:rFonts w:ascii="Times New Roman" w:eastAsia="Times New Roman" w:hAnsi="Times New Roman" w:cs="Times New Roman"/>
      <w:sz w:val="24"/>
      <w:szCs w:val="24"/>
      <w:lang w:val="es-ES" w:eastAsia="es-ES"/>
    </w:rPr>
  </w:style>
  <w:style w:type="paragraph" w:styleId="Sinespaciado">
    <w:name w:val="No Spacing"/>
    <w:uiPriority w:val="1"/>
    <w:qFormat/>
    <w:rsid w:val="00084E5B"/>
    <w:pPr>
      <w:spacing w:after="0" w:line="240" w:lineRule="auto"/>
    </w:pPr>
  </w:style>
  <w:style w:type="table" w:styleId="Tablaconcuadrcula">
    <w:name w:val="Table Grid"/>
    <w:basedOn w:val="Tablanormal"/>
    <w:uiPriority w:val="59"/>
    <w:rsid w:val="0008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84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4E5B"/>
    <w:rPr>
      <w:rFonts w:ascii="Segoe UI" w:eastAsia="Times New Roman" w:hAnsi="Segoe UI" w:cs="Segoe UI"/>
      <w:sz w:val="18"/>
      <w:szCs w:val="18"/>
      <w:lang w:val="es-ES" w:eastAsia="es-ES"/>
    </w:rPr>
  </w:style>
  <w:style w:type="paragraph" w:customStyle="1" w:styleId="Default">
    <w:name w:val="Default"/>
    <w:rsid w:val="004550CE"/>
    <w:pPr>
      <w:autoSpaceDE w:val="0"/>
      <w:autoSpaceDN w:val="0"/>
      <w:adjustRightInd w:val="0"/>
      <w:spacing w:after="0" w:line="240" w:lineRule="auto"/>
    </w:pPr>
    <w:rPr>
      <w:rFonts w:ascii="Palatino Linotype" w:hAnsi="Palatino Linotype" w:cs="Palatino Linotype"/>
      <w:color w:val="000000"/>
      <w:sz w:val="24"/>
      <w:szCs w:val="24"/>
    </w:rPr>
  </w:style>
  <w:style w:type="table" w:customStyle="1" w:styleId="Tablaconcuadrcula1">
    <w:name w:val="Tabla con cuadrícula1"/>
    <w:basedOn w:val="Tablanormal"/>
    <w:next w:val="Tablaconcuadrcula"/>
    <w:uiPriority w:val="59"/>
    <w:rsid w:val="00613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258A"/>
    <w:pPr>
      <w:ind w:left="720"/>
      <w:contextualSpacing/>
    </w:pPr>
  </w:style>
  <w:style w:type="character" w:styleId="Hipervnculo">
    <w:name w:val="Hyperlink"/>
    <w:basedOn w:val="Fuentedeprrafopredeter"/>
    <w:uiPriority w:val="99"/>
    <w:unhideWhenUsed/>
    <w:rsid w:val="00330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gct/2019/dic18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98FC9-C91E-4BB4-9AE6-14316994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2019-10-14T14:47:00Z</cp:lastPrinted>
  <dcterms:created xsi:type="dcterms:W3CDTF">2019-02-28T18:47:00Z</dcterms:created>
  <dcterms:modified xsi:type="dcterms:W3CDTF">2020-02-13T00:29:00Z</dcterms:modified>
</cp:coreProperties>
</file>