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6" w:line="240" w:lineRule="auto"/>
        <w:ind w:right="19"/>
        <w:jc w:val="center"/>
        <w:rPr>
          <w:rFonts w:ascii="Palatino Linotype" w:cs="Palatino Linotype" w:eastAsia="Palatino Linotype" w:hAnsi="Palatino Linotype"/>
          <w:b w:val="1"/>
          <w:color w:val="000000"/>
          <w:sz w:val="21"/>
          <w:szCs w:val="2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21"/>
          <w:szCs w:val="21"/>
          <w:rtl w:val="0"/>
        </w:rPr>
        <w:t xml:space="preserve">Orden del día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98"/>
        </w:tabs>
        <w:spacing w:before="197" w:line="240" w:lineRule="auto"/>
        <w:ind w:right="19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1"/>
          <w:szCs w:val="21"/>
          <w:rtl w:val="0"/>
        </w:rPr>
        <w:t xml:space="preserve">Lista de asistencia y declaración del Quórum legal.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firstLine="0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1"/>
          <w:szCs w:val="21"/>
          <w:rtl w:val="0"/>
        </w:rPr>
        <w:t xml:space="preserve">Lectura y en su caso aprobación del Orden del Día.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01" w:firstLine="0"/>
        <w:jc w:val="both"/>
        <w:rPr>
          <w:rFonts w:ascii="Palatino Linotype" w:cs="Palatino Linotype" w:eastAsia="Palatino Linotype" w:hAnsi="Palatino Linotyp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1"/>
          <w:szCs w:val="21"/>
          <w:rtl w:val="0"/>
        </w:rPr>
        <w:t xml:space="preserve">Lectura, discusión y, en su caso, aprobación del Acta de la Primera Sesión Ordinaria de Comisión de Transparencia y Acceso a la Información Pública del 22 de marzo de 2023.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Palatino Linotype" w:cs="Palatino Linotype" w:eastAsia="Palatino Linotype" w:hAnsi="Palatino Linotype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1"/>
          <w:szCs w:val="21"/>
          <w:rtl w:val="0"/>
        </w:rPr>
        <w:t xml:space="preserve">Presentación, discusión y en su caso aprobación de los </w:t>
      </w:r>
      <w:r w:rsidDel="00000000" w:rsidR="00000000" w:rsidRPr="00000000">
        <w:rPr>
          <w:rFonts w:ascii="Palatino Linotype" w:cs="Palatino Linotype" w:eastAsia="Palatino Linotype" w:hAnsi="Palatino Linotype"/>
          <w:sz w:val="21"/>
          <w:szCs w:val="21"/>
          <w:rtl w:val="0"/>
        </w:rPr>
        <w:t xml:space="preserve">Lineamientos para la elaboración del Informe Anual que deberán remitir los Sujetos Obligados.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bookmarkStart w:colFirst="0" w:colLast="0" w:name="_heading=h.2et92p0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1"/>
          <w:szCs w:val="21"/>
          <w:rtl w:val="0"/>
        </w:rPr>
        <w:t xml:space="preserve">Presentación, discusión y en su caso aprobación del material didáctico en materia de transparencia.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1"/>
          <w:szCs w:val="21"/>
          <w:rtl w:val="0"/>
        </w:rPr>
        <w:t xml:space="preserve">Presentación del seguimiento a la Política subsidiaria de donación de equipos de cómputo a municipios con población menor a 70,000 habitantes por parte del Instituto de Transparencia, Acceso a la Información Pública y Protección de Datos Personales del Estado de México y Municipios</w:t>
      </w:r>
      <w:r w:rsidDel="00000000" w:rsidR="00000000" w:rsidRPr="00000000">
        <w:rPr>
          <w:rFonts w:ascii="Palatino Linotype" w:cs="Palatino Linotype" w:eastAsia="Palatino Linotype" w:hAnsi="Palatino Linotype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1"/>
          <w:szCs w:val="21"/>
          <w:rtl w:val="0"/>
        </w:rPr>
        <w:t xml:space="preserve">Seguimiento de Acuerdos.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firstLine="0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1"/>
          <w:szCs w:val="21"/>
          <w:rtl w:val="0"/>
        </w:rPr>
        <w:t xml:space="preserve">Asuntos </w:t>
      </w:r>
      <w:r w:rsidDel="00000000" w:rsidR="00000000" w:rsidRPr="00000000">
        <w:rPr>
          <w:rFonts w:ascii="Palatino Linotype" w:cs="Palatino Linotype" w:eastAsia="Palatino Linotype" w:hAnsi="Palatino Linotype"/>
          <w:sz w:val="21"/>
          <w:szCs w:val="21"/>
          <w:rtl w:val="0"/>
        </w:rPr>
        <w:t xml:space="preserve">g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1"/>
          <w:szCs w:val="21"/>
          <w:rtl w:val="0"/>
        </w:rPr>
        <w:t xml:space="preserve">enerales.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firstLine="0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  <w:sz w:val="21"/>
          <w:szCs w:val="21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1"/>
          <w:szCs w:val="21"/>
          <w:rtl w:val="0"/>
        </w:rPr>
        <w:t xml:space="preserve">Clausura de la sesión. </w:t>
      </w:r>
    </w:p>
    <w:sectPr>
      <w:headerReference r:id="rId7" w:type="default"/>
      <w:pgSz w:h="15840" w:w="12240" w:orient="portrait"/>
      <w:pgMar w:bottom="1584" w:top="1594" w:left="1308" w:right="141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-855027</wp:posOffset>
          </wp:positionH>
          <wp:positionV relativeFrom="paragraph">
            <wp:posOffset>0</wp:posOffset>
          </wp:positionV>
          <wp:extent cx="7756263" cy="10101221"/>
          <wp:effectExtent b="0" l="0" r="0" t="0"/>
          <wp:wrapNone/>
          <wp:docPr id="2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6263" cy="1010122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0</wp:posOffset>
              </wp:positionV>
              <wp:extent cx="5203751" cy="361950"/>
              <wp:effectExtent b="0" l="0" r="0" t="0"/>
              <wp:wrapNone/>
              <wp:docPr id="2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53650" y="3608550"/>
                        <a:ext cx="5184701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Palatino Linotype" w:cs="Palatino Linotype" w:eastAsia="Palatino Linotype" w:hAnsi="Palatino Linotype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7"/>
                              <w:highlight w:val="white"/>
                              <w:vertAlign w:val="baseline"/>
                            </w:rPr>
                            <w:t xml:space="preserve">“2023. Septuagésimo Aniversario del Reconocimiento del Derecho al Voto de las Mujeres en México”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Palatino Linotype" w:cs="Palatino Linotype" w:eastAsia="Palatino Linotype" w:hAnsi="Palatino Linotype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7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0</wp:posOffset>
              </wp:positionV>
              <wp:extent cx="5203751" cy="361950"/>
              <wp:effectExtent b="0" l="0" r="0" t="0"/>
              <wp:wrapNone/>
              <wp:docPr id="2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3751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1001" w:hanging="360"/>
      </w:pPr>
      <w:rPr>
        <w:b w:val="1"/>
        <w:shd w:fill="auto" w:val="clear"/>
      </w:rPr>
    </w:lvl>
    <w:lvl w:ilvl="1">
      <w:start w:val="1"/>
      <w:numFmt w:val="lowerLetter"/>
      <w:lvlText w:val="%2."/>
      <w:lvlJc w:val="left"/>
      <w:pPr>
        <w:ind w:left="1721" w:hanging="360"/>
      </w:pPr>
      <w:rPr/>
    </w:lvl>
    <w:lvl w:ilvl="2">
      <w:start w:val="1"/>
      <w:numFmt w:val="lowerRoman"/>
      <w:lvlText w:val="%3."/>
      <w:lvlJc w:val="right"/>
      <w:pPr>
        <w:ind w:left="2441" w:hanging="180"/>
      </w:pPr>
      <w:rPr/>
    </w:lvl>
    <w:lvl w:ilvl="3">
      <w:start w:val="1"/>
      <w:numFmt w:val="decimal"/>
      <w:lvlText w:val="%4."/>
      <w:lvlJc w:val="left"/>
      <w:pPr>
        <w:ind w:left="3161" w:hanging="360"/>
      </w:pPr>
      <w:rPr/>
    </w:lvl>
    <w:lvl w:ilvl="4">
      <w:start w:val="1"/>
      <w:numFmt w:val="lowerLetter"/>
      <w:lvlText w:val="%5."/>
      <w:lvlJc w:val="left"/>
      <w:pPr>
        <w:ind w:left="3881" w:hanging="360"/>
      </w:pPr>
      <w:rPr/>
    </w:lvl>
    <w:lvl w:ilvl="5">
      <w:start w:val="1"/>
      <w:numFmt w:val="lowerRoman"/>
      <w:lvlText w:val="%6."/>
      <w:lvlJc w:val="right"/>
      <w:pPr>
        <w:ind w:left="4601" w:hanging="180"/>
      </w:pPr>
      <w:rPr/>
    </w:lvl>
    <w:lvl w:ilvl="6">
      <w:start w:val="1"/>
      <w:numFmt w:val="decimal"/>
      <w:lvlText w:val="%7."/>
      <w:lvlJc w:val="left"/>
      <w:pPr>
        <w:ind w:left="5321" w:hanging="360"/>
      </w:pPr>
      <w:rPr/>
    </w:lvl>
    <w:lvl w:ilvl="7">
      <w:start w:val="1"/>
      <w:numFmt w:val="lowerLetter"/>
      <w:lvlText w:val="%8."/>
      <w:lvlJc w:val="left"/>
      <w:pPr>
        <w:ind w:left="6041" w:hanging="360"/>
      </w:pPr>
      <w:rPr/>
    </w:lvl>
    <w:lvl w:ilvl="8">
      <w:start w:val="1"/>
      <w:numFmt w:val="lowerRoman"/>
      <w:lvlText w:val="%9."/>
      <w:lvlJc w:val="right"/>
      <w:pPr>
        <w:ind w:left="676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D21BE7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21BE7"/>
  </w:style>
  <w:style w:type="paragraph" w:styleId="Piedepgina">
    <w:name w:val="footer"/>
    <w:basedOn w:val="Normal"/>
    <w:link w:val="PiedepginaCar"/>
    <w:uiPriority w:val="99"/>
    <w:unhideWhenUsed w:val="1"/>
    <w:rsid w:val="00D21BE7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21BE7"/>
  </w:style>
  <w:style w:type="paragraph" w:styleId="Prrafodelista">
    <w:name w:val="List Paragraph"/>
    <w:basedOn w:val="Normal"/>
    <w:uiPriority w:val="34"/>
    <w:qFormat w:val="1"/>
    <w:rsid w:val="00D21BE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27B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2Ex/WQq9krNuyJf5Z1o71SMi0A==">CgMxLjAyCWguMmV0OTJwMDIIaC5namRneHM4AHIhMTVtYU16eTVoNGtveWc4UEZTa19DYjUzOWIzX21SQmha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2023-03-07T20:00:00Z</dcterms:created>
  <dc:creator>fany vieyra</dc:creator>
</cp:coreProperties>
</file>