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419"/>
          <w:tab w:val="right" w:leader="none" w:pos="8838"/>
        </w:tabs>
        <w:spacing w:after="0" w:line="276" w:lineRule="auto"/>
        <w:jc w:val="both"/>
        <w:rPr>
          <w:rFonts w:ascii="Palatino Linotype" w:cs="Palatino Linotype" w:eastAsia="Palatino Linotype" w:hAnsi="Palatino Linotype"/>
          <w:b w:val="1"/>
          <w:color w:val="000000"/>
        </w:rPr>
      </w:pPr>
      <w:bookmarkStart w:colFirst="0" w:colLast="0" w:name="_heading=h.gjdgxs" w:id="0"/>
      <w:bookmarkEnd w:id="0"/>
      <w:r w:rsidDel="00000000" w:rsidR="00000000" w:rsidRPr="00000000">
        <w:rPr>
          <w:rFonts w:ascii="Palatino Linotype" w:cs="Palatino Linotype" w:eastAsia="Palatino Linotype" w:hAnsi="Palatino Linotype"/>
          <w:b w:val="1"/>
          <w:color w:val="000000"/>
          <w:rtl w:val="0"/>
        </w:rPr>
        <w:t xml:space="preserve">DICTAMEN PARA DETERMINAR EL CATÁLOGO DE INFORMACIÓN ADICIONAL QUE DEBERÁN PUBLICAR LOS SUJETOS OBLIGADOS POR CONSIDERARSE DE INTERÉS PÚBLICO CORRESPONDIENTE AL EJERCICIO 2023</w:t>
      </w:r>
    </w:p>
    <w:p w:rsidR="00000000" w:rsidDel="00000000" w:rsidP="00000000" w:rsidRDefault="00000000" w:rsidRPr="00000000" w14:paraId="00000002">
      <w:pPr>
        <w:spacing w:after="0" w:line="276" w:lineRule="auto"/>
        <w:ind w:right="46"/>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3">
      <w:pPr>
        <w:spacing w:after="0" w:line="276" w:lineRule="auto"/>
        <w:ind w:right="46"/>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CONSIDERANDOS</w:t>
      </w:r>
    </w:p>
    <w:p w:rsidR="00000000" w:rsidDel="00000000" w:rsidP="00000000" w:rsidRDefault="00000000" w:rsidRPr="00000000" w14:paraId="00000004">
      <w:pPr>
        <w:spacing w:after="0" w:line="276" w:lineRule="auto"/>
        <w:ind w:right="46"/>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5">
      <w:pPr>
        <w:spacing w:after="0" w:line="276" w:lineRule="auto"/>
        <w:ind w:right="-7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Instituto de Transparencia, Acceso a la Información Pública y Protección de Datos Personales del Estado de México y Municipios (Infoem), de conformidad con los artículos 6, apartado A, fracción VIII y 116, fracción VIII de la Constitución Política de los Estados Unidos Mexicanos; 5, párrafos trigésimo, trigésimo primero, trigésimo segundo, fracción VIII de la Constitución Política del Estado Libre y Soberano de México, y 29 de la Ley de Transparencia y Acceso a la Información Pública del Estado de México y Municipios (Ley de Transparencia Local), es un organismo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en materia de transparencia de garantizar el ejercicio de los derechos de acceso a la información pública y la protección de datos personales en posesión de los Sujetos Obligados.</w:t>
      </w:r>
    </w:p>
    <w:p w:rsidR="00000000" w:rsidDel="00000000" w:rsidP="00000000" w:rsidRDefault="00000000" w:rsidRPr="00000000" w14:paraId="00000006">
      <w:pPr>
        <w:spacing w:after="0" w:line="276" w:lineRule="auto"/>
        <w:ind w:right="-7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7">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4 de mayo de 2016, fue publicado en el Periódico Oficial “Gaceta del Gobierno” del Estado de México, el Decreto número 83 por el cual se expidió la Ley de Transparencia Local, misma que se encuentra armonizada con la Ley General de Transparencia y Acceso a la Información Pública de conformidad con su artículo Quinto Transitorio. </w:t>
      </w:r>
    </w:p>
    <w:p w:rsidR="00000000" w:rsidDel="00000000" w:rsidP="00000000" w:rsidRDefault="00000000" w:rsidRPr="00000000" w14:paraId="00000008">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9">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la Ley de Transparencia Local, en su artículo 92 establece las obligaciones de transparencia comunes con las que deben cumplir todos los Sujetos Obligados, dentro de las cuales, se encuentra la prevista en la fracción LII, misma que indica que se deberá publicar cualquier otra información que sea de utilidad o se considere relevante, además de la que, con base en la información estadística, responda a las preguntas hechas con más frecuencia por el público, aunado a que deben publicar dicha información con base en los formatos específicos del artículo 80 de la Ley General, establecidos en el Anexo XIII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 el objetivo de asegurar que la organización, presentación y publicación de la información garantice su homologación y estandarización.</w:t>
      </w:r>
    </w:p>
    <w:p w:rsidR="00000000" w:rsidDel="00000000" w:rsidP="00000000" w:rsidRDefault="00000000" w:rsidRPr="00000000" w14:paraId="0000000A">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B">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para establecer las directrices que deben observarse para identificar la información adicional que se publicará de manera obligatoria por considerarse de interés público, el 15 de abril de 2016, se publicó en el Diario Oficial de la Federación, los Lineamientos para determinar los Catálogos y Publicación de Información de Interés Público; y para la emisión y evaluación de Políticas de Transparencia Proactiva (Lineamientos de Interés Público), mismos que fueron modificados el  21 de febrero de 2018.</w:t>
      </w:r>
    </w:p>
    <w:p w:rsidR="00000000" w:rsidDel="00000000" w:rsidP="00000000" w:rsidRDefault="00000000" w:rsidRPr="00000000" w14:paraId="0000000C">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D">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22 de octubre de 2020, fue publicado en el Periódico Oficial “Gaceta del Gobierno” del Estado de México el “Acuerdo mediante el cual el Pleno del Instituto de Transparencia, Acceso a la Información Pública y Protección de Datos Personales del Estado de México y Municipios aprueba los Lineamientos para establecer el procedimiento de identificación y revisión de la información adicional que publicarán los Sujetos Obligados de manera obligatoria por considerarse de interés público” (Lineamientos de Interés Público del Infoem).</w:t>
      </w:r>
    </w:p>
    <w:p w:rsidR="00000000" w:rsidDel="00000000" w:rsidP="00000000" w:rsidRDefault="00000000" w:rsidRPr="00000000" w14:paraId="0000000E">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F">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conforme a lo dispuesto en el artículo 103 de la Ley de Transparencia Local, el Infoem deberá solicitar a los Sujetos Obligados que remitan el listado de información que consideren de interés público, a fin de que se pueda determinar el catálogo de información que cada Sujeto Obligado deberá de publicar como obligación de transparencia adicional, atendiendo a los Lineamientos de interés público y a los emitidos  por el propio Instituto.</w:t>
      </w:r>
    </w:p>
    <w:p w:rsidR="00000000" w:rsidDel="00000000" w:rsidP="00000000" w:rsidRDefault="00000000" w:rsidRPr="00000000" w14:paraId="00000010">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1">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23 de enero de 2023, la Dirección General de Transparencia, Acceso a la Información Pública y Gobierno Abierto (Dirección General de Transparencia), solicitó mediante correo electrónico a los Sujetos Obligados, con fundamento en los Lineamientos de interés público del Infoem, remitir en un término de 10 días hábiles, el listado de información que se considere de interés público, facilitando para su identificación la variable metodológica establecida en los Lineamientos antes citados. </w:t>
      </w:r>
    </w:p>
    <w:p w:rsidR="00000000" w:rsidDel="00000000" w:rsidP="00000000" w:rsidRDefault="00000000" w:rsidRPr="00000000" w14:paraId="00000012">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3">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día 14 de febrero de 2023, la Dirección General de Transparencia, a través de los enlaces asignados para ello, realizó un atento recordatorio a los Sujetos Obligados que no habían remitido hasta ese día, el listado de información que consideren de interés público, así como a aquellos que señalaron no generar información en la materia, lo anterior, a efecto de que realizaran lo propio. </w:t>
      </w:r>
    </w:p>
    <w:p w:rsidR="00000000" w:rsidDel="00000000" w:rsidP="00000000" w:rsidRDefault="00000000" w:rsidRPr="00000000" w14:paraId="00000014">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5">
      <w:pPr>
        <w:spacing w:after="0" w:line="276" w:lineRule="auto"/>
        <w:jc w:val="both"/>
        <w:rPr>
          <w:rFonts w:ascii="Palatino Linotype" w:cs="Palatino Linotype" w:eastAsia="Palatino Linotype" w:hAnsi="Palatino Linotype"/>
          <w:highlight w:val="yellow"/>
        </w:rPr>
      </w:pPr>
      <w:r w:rsidDel="00000000" w:rsidR="00000000" w:rsidRPr="00000000">
        <w:rPr>
          <w:rFonts w:ascii="Palatino Linotype" w:cs="Palatino Linotype" w:eastAsia="Palatino Linotype" w:hAnsi="Palatino Linotype"/>
          <w:rtl w:val="0"/>
        </w:rPr>
        <w:t xml:space="preserve">Que el día 21 de febrero de 2023, la Dirección General de Transparencia, inició con el análisis a la información remitida por parte de los Sujetos Obligados a fin de poder estar en posibilidad de integrar el Catálogo de información de interés público que deben publicar para el 2023 los Sujetos Obligados. </w:t>
      </w:r>
      <w:r w:rsidDel="00000000" w:rsidR="00000000" w:rsidRPr="00000000">
        <w:rPr>
          <w:rtl w:val="0"/>
        </w:rPr>
      </w:r>
    </w:p>
    <w:p w:rsidR="00000000" w:rsidDel="00000000" w:rsidP="00000000" w:rsidRDefault="00000000" w:rsidRPr="00000000" w14:paraId="00000016">
      <w:pPr>
        <w:spacing w:after="0" w:line="276" w:lineRule="auto"/>
        <w:jc w:val="both"/>
        <w:rPr>
          <w:rFonts w:ascii="Palatino Linotype" w:cs="Palatino Linotype" w:eastAsia="Palatino Linotype" w:hAnsi="Palatino Linotype"/>
          <w:highlight w:val="yellow"/>
        </w:rPr>
      </w:pPr>
      <w:r w:rsidDel="00000000" w:rsidR="00000000" w:rsidRPr="00000000">
        <w:rPr>
          <w:rtl w:val="0"/>
        </w:rPr>
      </w:r>
    </w:p>
    <w:p w:rsidR="00000000" w:rsidDel="00000000" w:rsidP="00000000" w:rsidRDefault="00000000" w:rsidRPr="00000000" w14:paraId="00000017">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w:t>
      </w:r>
      <w:r w:rsidDel="00000000" w:rsidR="00000000" w:rsidRPr="00000000">
        <w:rPr>
          <w:rFonts w:ascii="Palatino Linotype" w:cs="Palatino Linotype" w:eastAsia="Palatino Linotype" w:hAnsi="Palatino Linotype"/>
          <w:b w:val="1"/>
          <w:rtl w:val="0"/>
        </w:rPr>
        <w:t xml:space="preserve">ATRIBUCIÓN</w:t>
      </w:r>
      <w:r w:rsidDel="00000000" w:rsidR="00000000" w:rsidRPr="00000000">
        <w:rPr>
          <w:rFonts w:ascii="Palatino Linotype" w:cs="Palatino Linotype" w:eastAsia="Palatino Linotype" w:hAnsi="Palatino Linotype"/>
          <w:rtl w:val="0"/>
        </w:rPr>
        <w:t xml:space="preserve">: Que la Dirección General de Transparencia, tiene la atribución para llevar a cabo el procedimiento correspondiente para determinar los catálogos de información adicional que deberán publicar los Sujetos Obligados, por considerarse de Interés Público, el presente dictamen en el que se analiza el listado de información de interés público que remitieron los Sujetos Obligados en materia de su competencia, a efecto de que el Pleno de este Instituto determine el catálogo que cada uno de éstos habrá de publicar como obligación de transparencia, de conformidad con lo dispuesto en los artículos 80 de la Ley General de Transparencia y Acceso a la Información Pública; </w:t>
      </w:r>
      <w:r w:rsidDel="00000000" w:rsidR="00000000" w:rsidRPr="00000000">
        <w:rPr>
          <w:rFonts w:ascii="Palatino Linotype" w:cs="Palatino Linotype" w:eastAsia="Palatino Linotype" w:hAnsi="Palatino Linotype"/>
          <w:color w:val="000000"/>
          <w:highlight w:val="white"/>
          <w:rtl w:val="0"/>
        </w:rPr>
        <w:t xml:space="preserve">92, </w:t>
      </w:r>
      <w:r w:rsidDel="00000000" w:rsidR="00000000" w:rsidRPr="00000000">
        <w:rPr>
          <w:rFonts w:ascii="Palatino Linotype" w:cs="Palatino Linotype" w:eastAsia="Palatino Linotype" w:hAnsi="Palatino Linotype"/>
          <w:rtl w:val="0"/>
        </w:rPr>
        <w:t xml:space="preserve">fracción LII, 103 de </w:t>
      </w:r>
      <w:r w:rsidDel="00000000" w:rsidR="00000000" w:rsidRPr="00000000">
        <w:rPr>
          <w:rFonts w:ascii="Palatino Linotype" w:cs="Palatino Linotype" w:eastAsia="Palatino Linotype" w:hAnsi="Palatino Linotype"/>
          <w:color w:val="000000"/>
          <w:highlight w:val="white"/>
          <w:rtl w:val="0"/>
        </w:rPr>
        <w:t xml:space="preserve">la Ley de Transparencia Local</w:t>
      </w:r>
      <w:r w:rsidDel="00000000" w:rsidR="00000000" w:rsidRPr="00000000">
        <w:rPr>
          <w:rFonts w:ascii="Palatino Linotype" w:cs="Palatino Linotype" w:eastAsia="Palatino Linotype" w:hAnsi="Palatino Linotype"/>
          <w:highlight w:val="white"/>
          <w:rtl w:val="0"/>
        </w:rPr>
        <w:t xml:space="preserve">,</w:t>
      </w:r>
      <w:r w:rsidDel="00000000" w:rsidR="00000000" w:rsidRPr="00000000">
        <w:rPr>
          <w:rFonts w:ascii="Palatino Linotype" w:cs="Palatino Linotype" w:eastAsia="Palatino Linotype" w:hAnsi="Palatino Linotype"/>
          <w:rtl w:val="0"/>
        </w:rPr>
        <w:t xml:space="preserve"> artículo 25 fracción XII del Reglamento Interior del Instituto de Transparencia, Acceso a la Información Pública y Protección de Datos Personales del Estado de México y Municipios, y los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Lineamientos para establecer el Procedimiento de identificación y revisión de la información adicional que publicarán los Sujetos Obligados de manera obligatoria por considerarse de interés público.</w:t>
      </w:r>
    </w:p>
    <w:p w:rsidR="00000000" w:rsidDel="00000000" w:rsidP="00000000" w:rsidRDefault="00000000" w:rsidRPr="00000000" w14:paraId="00000018">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9">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w:t>
      </w:r>
      <w:r w:rsidDel="00000000" w:rsidR="00000000" w:rsidRPr="00000000">
        <w:rPr>
          <w:rFonts w:ascii="Palatino Linotype" w:cs="Palatino Linotype" w:eastAsia="Palatino Linotype" w:hAnsi="Palatino Linotype"/>
          <w:b w:val="1"/>
          <w:rtl w:val="0"/>
        </w:rPr>
        <w:t xml:space="preserve">FUNDAMENTACIÓN:</w:t>
      </w:r>
      <w:r w:rsidDel="00000000" w:rsidR="00000000" w:rsidRPr="00000000">
        <w:rPr>
          <w:rFonts w:ascii="Palatino Linotype" w:cs="Palatino Linotype" w:eastAsia="Palatino Linotype" w:hAnsi="Palatino Linotype"/>
          <w:rtl w:val="0"/>
        </w:rPr>
        <w:t xml:space="preserve"> Que de conformidad con el artículo  103 de la Ley de Transparencia Local y en relación con lo previsto en los Anexos I y XIII de los Lineamientos Técnicos Generales, así como los numerales Séptimo, Octavo, Noveno Décimo, Décimo primero, Décimo segundo y Décimo tercero de los Lineamientos de interés público, además de los Lineamientos emitidos por el Infoem, por lo que es procedente emitir el presente dictamen para determinar el catálogo de información de interés público, a efecto de ser sometido al Pleno de este Instituto para que, una vez analizado, se determine lo procedente.</w:t>
      </w:r>
    </w:p>
    <w:p w:rsidR="00000000" w:rsidDel="00000000" w:rsidP="00000000" w:rsidRDefault="00000000" w:rsidRPr="00000000" w14:paraId="0000001A">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B">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w:t>
      </w:r>
      <w:r w:rsidDel="00000000" w:rsidR="00000000" w:rsidRPr="00000000">
        <w:rPr>
          <w:rFonts w:ascii="Palatino Linotype" w:cs="Palatino Linotype" w:eastAsia="Palatino Linotype" w:hAnsi="Palatino Linotype"/>
          <w:b w:val="1"/>
          <w:rtl w:val="0"/>
        </w:rPr>
        <w:t xml:space="preserve"> MOTIVACIÓN</w:t>
      </w:r>
      <w:r w:rsidDel="00000000" w:rsidR="00000000" w:rsidRPr="00000000">
        <w:rPr>
          <w:rFonts w:ascii="Palatino Linotype" w:cs="Palatino Linotype" w:eastAsia="Palatino Linotype" w:hAnsi="Palatino Linotype"/>
          <w:rtl w:val="0"/>
        </w:rPr>
        <w:t xml:space="preserve">: Que el artículo 103 de la Ley de Transparencia Local, establece lo siguiente:</w:t>
      </w:r>
    </w:p>
    <w:p w:rsidR="00000000" w:rsidDel="00000000" w:rsidP="00000000" w:rsidRDefault="00000000" w:rsidRPr="00000000" w14:paraId="0000001C">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D">
      <w:pPr>
        <w:spacing w:after="0" w:line="276" w:lineRule="auto"/>
        <w:ind w:left="992"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b w:val="1"/>
          <w:i w:val="1"/>
          <w:rtl w:val="0"/>
        </w:rPr>
        <w:t xml:space="preserve">Artículo 103</w:t>
      </w:r>
      <w:r w:rsidDel="00000000" w:rsidR="00000000" w:rsidRPr="00000000">
        <w:rPr>
          <w:rFonts w:ascii="Palatino Linotype" w:cs="Palatino Linotype" w:eastAsia="Palatino Linotype" w:hAnsi="Palatino Linotype"/>
          <w:i w:val="1"/>
          <w:rtl w:val="0"/>
        </w:rPr>
        <w:t xml:space="preserve">. Para determinar la información adicional que publicarán todos los Sujetos Obligados de manera obligatoria, el Instituto deberá:</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Solicitar a los Sujetos Obligados que, atendiendo a los lineamientos emitidos por el Sistema Nacional, </w:t>
      </w:r>
      <w:r w:rsidDel="00000000" w:rsidR="00000000" w:rsidRPr="00000000">
        <w:rPr>
          <w:rFonts w:ascii="Palatino Linotype" w:cs="Palatino Linotype" w:eastAsia="Palatino Linotype" w:hAnsi="Palatino Linotype"/>
          <w:i w:val="1"/>
          <w:rtl w:val="0"/>
        </w:rPr>
        <w:t xml:space="preserve">remita</w:t>
      </w:r>
      <w:r w:rsidDel="00000000" w:rsidR="00000000" w:rsidRPr="00000000">
        <w:rPr>
          <w:rFonts w:ascii="Palatino Linotype" w:cs="Palatino Linotype" w:eastAsia="Palatino Linotype" w:hAnsi="Palatino Linotype"/>
          <w:i w:val="1"/>
          <w:color w:val="000000"/>
          <w:rtl w:val="0"/>
        </w:rPr>
        <w:t xml:space="preserve"> el listado de información que consideren de interés público;</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Revisar el listado que remitió el sujeto obligado con base en las funciones, atribuciones y competencias que la normatividad aplicable le otorgue, y </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rtl w:val="0"/>
        </w:rPr>
        <w:t xml:space="preserve">Determinar</w:t>
      </w:r>
      <w:r w:rsidDel="00000000" w:rsidR="00000000" w:rsidRPr="00000000">
        <w:rPr>
          <w:rFonts w:ascii="Palatino Linotype" w:cs="Palatino Linotype" w:eastAsia="Palatino Linotype" w:hAnsi="Palatino Linotype"/>
          <w:i w:val="1"/>
          <w:color w:val="000000"/>
          <w:rtl w:val="0"/>
        </w:rPr>
        <w:t xml:space="preserve"> el catálogo de información que el sujeto obligado deberá publicar como obligación de transparencia.” (Sic)</w:t>
      </w:r>
    </w:p>
    <w:p w:rsidR="00000000" w:rsidDel="00000000" w:rsidP="00000000" w:rsidRDefault="00000000" w:rsidRPr="00000000" w14:paraId="00000021">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2">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los Lineamientos para establecer el procedimiento de identificación y revisión de la información adicional que publicarán los Sujetos Obligados de manera obligatoria por considerarse de interés público, señalan lo siguiente: </w:t>
      </w:r>
    </w:p>
    <w:p w:rsidR="00000000" w:rsidDel="00000000" w:rsidP="00000000" w:rsidRDefault="00000000" w:rsidRPr="00000000" w14:paraId="00000023">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4">
      <w:pPr>
        <w:spacing w:after="0" w:line="276" w:lineRule="auto"/>
        <w:ind w:left="850"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“Segundo.</w:t>
      </w:r>
      <w:r w:rsidDel="00000000" w:rsidR="00000000" w:rsidRPr="00000000">
        <w:rPr>
          <w:rFonts w:ascii="Palatino Linotype" w:cs="Palatino Linotype" w:eastAsia="Palatino Linotype" w:hAnsi="Palatino Linotype"/>
          <w:i w:val="1"/>
          <w:rtl w:val="0"/>
        </w:rPr>
        <w:t xml:space="preserve"> Además de las definiciones establecidas en la Ley de Transparencia y Acceso a la Información Pública del Estado de México y Municipios y el Reglamento Interior del Instituto de Transparencia, Acceso a la Información Pública y Protección de Datos Personales Estado de México y Municipios, para efectos de los presentes lineamientos se entenderá por:</w:t>
      </w:r>
    </w:p>
    <w:p w:rsidR="00000000" w:rsidDel="00000000" w:rsidP="00000000" w:rsidRDefault="00000000" w:rsidRPr="00000000" w14:paraId="00000025">
      <w:pPr>
        <w:spacing w:after="0" w:line="276" w:lineRule="auto"/>
        <w:ind w:left="850" w:right="61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6">
      <w:pPr>
        <w:spacing w:after="0" w:line="276" w:lineRule="auto"/>
        <w:ind w:left="850"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Catálogo: Es el instrumento que relaciona la información que el Instituto de Transparencia, Acceso a la Información Pública y Protección de Datos Personales del Estado de México y Municipios, con base en el listado de información remitida por los Sujetos Obligados, determinan como obligación de transparencia por considerarse de interés público y que contiene al menos: temática, descripción, periodo temporal comprendido y unidad administrativa responsable de su custodia;</w:t>
      </w:r>
    </w:p>
    <w:p w:rsidR="00000000" w:rsidDel="00000000" w:rsidP="00000000" w:rsidRDefault="00000000" w:rsidRPr="00000000" w14:paraId="00000027">
      <w:pPr>
        <w:spacing w:after="0" w:line="276" w:lineRule="auto"/>
        <w:ind w:left="850"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8">
      <w:pPr>
        <w:spacing w:after="0" w:line="276" w:lineRule="auto"/>
        <w:ind w:left="850"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Información de Interés Público: Aquella que resulta relevante o beneficiosa para la sociedad y no simplemente de interés individual, cuya divulgación resulta útil para que el público comprenda las actividades que llevan a cabo los Sujetos Obligados;</w:t>
      </w:r>
    </w:p>
    <w:p w:rsidR="00000000" w:rsidDel="00000000" w:rsidP="00000000" w:rsidRDefault="00000000" w:rsidRPr="00000000" w14:paraId="00000029">
      <w:pPr>
        <w:spacing w:after="0" w:line="276" w:lineRule="auto"/>
        <w:ind w:left="850"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76" w:lineRule="auto"/>
        <w:ind w:left="850"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VIII. Listado: La información que los Sujetos Obligados remiten al Infoem para su revisión,</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ind w:left="850"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por considerarse de interés público;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ind w:left="850" w:right="61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 (Sic)</w:t>
      </w:r>
      <w:r w:rsidDel="00000000" w:rsidR="00000000" w:rsidRPr="00000000">
        <w:rPr>
          <w:rtl w:val="0"/>
        </w:rPr>
      </w:r>
    </w:p>
    <w:p w:rsidR="00000000" w:rsidDel="00000000" w:rsidP="00000000" w:rsidRDefault="00000000" w:rsidRPr="00000000" w14:paraId="0000002D">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E">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se desprende de la normativa antes citada, y de conformidad con el artículo 103 de la Ley de Transparencia Local, para determinar la información adicional que publicarán los Sujetos Obligados, el Instituto deberá solicitar que, atendiendo a los Lineamientos emitidos por el Pleno del Infoem, los Sujetos Obligados remitirán el listado de información que consideren de interés público, a fin de que éste sea revisado para determinar el catálogo de información que cada Sujeto Obligado deberá publicar como obligación de transparencia. </w:t>
      </w:r>
    </w:p>
    <w:p w:rsidR="00000000" w:rsidDel="00000000" w:rsidP="00000000" w:rsidRDefault="00000000" w:rsidRPr="00000000" w14:paraId="0000002F">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los Lineamientos de interés público tienen por objetivo establecer las bases que deberán observarse en la identificación y revisión de la información adicional que publicarán los Sujetos Obligados de manera obligatoria por considerarse de interés público.</w:t>
      </w:r>
    </w:p>
    <w:p w:rsidR="00000000" w:rsidDel="00000000" w:rsidP="00000000" w:rsidRDefault="00000000" w:rsidRPr="00000000" w14:paraId="00000030">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1">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atención a lo anterior, la Dirección General de Transparencia, anexó un formato que permite a los Sujetos Obligados de una manera eficiente, realizar un listado que cumpla con las variables metodológicas establecidas en los Lineamientos, asimismo, para señalar la información considerada de interés público, esto conforme a lo establecido en los numerales Cuarto y Octavo de los Lineamientos emitidos por el Infoem, los cuales señalan lo siguiente:</w:t>
      </w:r>
    </w:p>
    <w:p w:rsidR="00000000" w:rsidDel="00000000" w:rsidP="00000000" w:rsidRDefault="00000000" w:rsidRPr="00000000" w14:paraId="00000032">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3">
      <w:pPr>
        <w:spacing w:after="0" w:line="276" w:lineRule="auto"/>
        <w:ind w:left="851"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“CUARTO. </w:t>
      </w:r>
      <w:r w:rsidDel="00000000" w:rsidR="00000000" w:rsidRPr="00000000">
        <w:rPr>
          <w:rFonts w:ascii="Palatino Linotype" w:cs="Palatino Linotype" w:eastAsia="Palatino Linotype" w:hAnsi="Palatino Linotype"/>
          <w:i w:val="1"/>
          <w:rtl w:val="0"/>
        </w:rPr>
        <w:t xml:space="preserve">En atención al requerimiento citado en el numeral que antecede, los Sujetos Obligados procederán a identificar la información de interés público, con base, de manera enunciativa más no limitativa, en lo siguiente: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Información que por disposición legal publique el Sujeto Obligado, es decir, que la legislación, o normatividad interna lo obligue a difundirla y que esté relacionada con sus atribuciones, funciones u objeto social;</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La información que ya ha sido publicada y que reviste las características de utilidad y relevancia;</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 Aquella información que sea requerida de manera frecuente relacionados con solicitudes de información pública;</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 La información relevante no solicitada por los particulares, pero que el Sujeto Obligado considere su importancia en relación a su utilidad y relevancia;</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 La información que por medio de mecanismos de participación ciudadana se considere como de interés público; y</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 La información que no sea susceptible de clasificarse en los supuestos previstos en la Ley de Transparencia Local.</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ind w:left="992"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76" w:lineRule="auto"/>
        <w:ind w:right="616"/>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3D">
      <w:pPr>
        <w:spacing w:after="0" w:line="276" w:lineRule="auto"/>
        <w:ind w:left="855" w:right="616" w:hanging="4.000000000000057"/>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OCTAVO. </w:t>
      </w:r>
      <w:r w:rsidDel="00000000" w:rsidR="00000000" w:rsidRPr="00000000">
        <w:rPr>
          <w:rFonts w:ascii="Palatino Linotype" w:cs="Palatino Linotype" w:eastAsia="Palatino Linotype" w:hAnsi="Palatino Linotype"/>
          <w:i w:val="1"/>
          <w:rtl w:val="0"/>
        </w:rPr>
        <w:t xml:space="preserve">El Instituto recibirá la información enviada por el Sujeto Obligado y procederá a analizarla a fin de identificar si reúne las características siguientes:</w:t>
      </w:r>
    </w:p>
    <w:p w:rsidR="00000000" w:rsidDel="00000000" w:rsidP="00000000" w:rsidRDefault="00000000" w:rsidRPr="00000000" w14:paraId="0000003E">
      <w:pPr>
        <w:spacing w:after="0" w:line="276" w:lineRule="auto"/>
        <w:ind w:left="855" w:right="616" w:hanging="4.000000000000057"/>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ind w:left="855" w:right="616" w:hanging="4.00000000000005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Que resulte relevante o beneficiosa para la sociedad, es decir, que en posesión de particulares sirva para fortalecer el ejercicio pleno de sus derechos y contribuya a mejorar su calidad de vida;</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76" w:lineRule="auto"/>
        <w:ind w:left="855" w:right="616" w:hanging="4.00000000000005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Que su divulgación resulte útil para que los particulares conozcan y comprendan las actividades que llevan a cabo los Sujetos Obligados;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76" w:lineRule="auto"/>
        <w:ind w:left="855" w:right="616" w:hanging="4.00000000000005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 Que sea información institucional de mayor petición por las personas;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76" w:lineRule="auto"/>
        <w:ind w:left="855" w:right="616" w:hanging="4.00000000000005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 Que complemente, pero no duplique información de otro artículo y/o fracción aplicable a los Sujetos Obligados, previsto en el Título Quinto de la Ley de Transparencia Local; y</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76" w:lineRule="auto"/>
        <w:ind w:left="855" w:right="616" w:hanging="4.000000000000057"/>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 Que fomente la cultura de la transparencia, propicie la rendición de cuentas a la sociedad y contribuya al combate a la corrupción.” (Sic)</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76" w:lineRule="auto"/>
        <w:ind w:right="616"/>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5">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desprende que los Sujetos Obligados deberán identificar toda la información que por disposición legal publiquen, así como aquella 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rtl w:val="0"/>
        </w:rPr>
        <w:t xml:space="preserve">reviste las características de utilidad y relevancia y sea solicitada con mayor frecuencia y que por mecanismos de participación ciudadana se considere de interés público y que no sea susceptible de clasificarse en los supuestos previstos en la Ley de Transparencia Local.</w:t>
      </w:r>
    </w:p>
    <w:p w:rsidR="00000000" w:rsidDel="00000000" w:rsidP="00000000" w:rsidRDefault="00000000" w:rsidRPr="00000000" w14:paraId="00000046">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7">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Instituto a través de la Dirección General de Transparencia, recibirá la información remitida por cada uno de los Sujetos Obligados y procederá a su análisis con la finalidad de identificar si la información es relevante o beneficiosa para la sociedad y si su divulgación resulta útil para generar una cultura de transparencia y una correcta rendición de cuentas.</w:t>
      </w:r>
    </w:p>
    <w:p w:rsidR="00000000" w:rsidDel="00000000" w:rsidP="00000000" w:rsidRDefault="00000000" w:rsidRPr="00000000" w14:paraId="00000048">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9">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lo anterior, el presente dictamen, tiene como finalidad identificar aquellos Sujetos Obligados que han dado atención a la remisión del listado de información de interés público, así como lo temas que integrarán el catálogo de información adicional por considerarse de interés público, debido a lo anterior se destaca lo siguiente: </w:t>
      </w:r>
    </w:p>
    <w:p w:rsidR="00000000" w:rsidDel="00000000" w:rsidP="00000000" w:rsidRDefault="00000000" w:rsidRPr="00000000" w14:paraId="0000004A">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B">
      <w:pPr>
        <w:numPr>
          <w:ilvl w:val="0"/>
          <w:numId w:val="1"/>
        </w:numPr>
        <w:spacing w:after="0" w:line="276" w:lineRule="auto"/>
        <w:ind w:left="720" w:right="616"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270 Sujetos Obligados dieron respuesta al requerimiento de información, de los cuales:</w:t>
      </w:r>
    </w:p>
    <w:p w:rsidR="00000000" w:rsidDel="00000000" w:rsidP="00000000" w:rsidRDefault="00000000" w:rsidRPr="00000000" w14:paraId="0000004C">
      <w:pPr>
        <w:numPr>
          <w:ilvl w:val="1"/>
          <w:numId w:val="1"/>
        </w:numPr>
        <w:spacing w:after="0" w:line="276" w:lineRule="auto"/>
        <w:ind w:left="1440" w:right="616" w:hanging="360"/>
        <w:jc w:val="both"/>
        <w:rPr>
          <w:rFonts w:ascii="Palatino Linotype" w:cs="Palatino Linotype" w:eastAsia="Palatino Linotype" w:hAnsi="Palatino Linotype"/>
        </w:rPr>
      </w:pPr>
      <w:bookmarkStart w:colFirst="0" w:colLast="0" w:name="_heading=h.bzj0gjgreyhx" w:id="1"/>
      <w:bookmarkEnd w:id="1"/>
      <w:r w:rsidDel="00000000" w:rsidR="00000000" w:rsidRPr="00000000">
        <w:rPr>
          <w:rFonts w:ascii="Palatino Linotype" w:cs="Palatino Linotype" w:eastAsia="Palatino Linotype" w:hAnsi="Palatino Linotype"/>
          <w:rtl w:val="0"/>
        </w:rPr>
        <w:t xml:space="preserve">5 Sujetos Obligados señalaron no haber generado información de interés público (Anexo 3);</w:t>
      </w:r>
    </w:p>
    <w:p w:rsidR="00000000" w:rsidDel="00000000" w:rsidP="00000000" w:rsidRDefault="00000000" w:rsidRPr="00000000" w14:paraId="0000004D">
      <w:pPr>
        <w:numPr>
          <w:ilvl w:val="0"/>
          <w:numId w:val="4"/>
        </w:numPr>
        <w:spacing w:after="0" w:line="276" w:lineRule="auto"/>
        <w:ind w:left="720" w:right="616" w:hanging="360"/>
        <w:jc w:val="both"/>
        <w:rPr>
          <w:rFonts w:ascii="Palatino Linotype" w:cs="Palatino Linotype" w:eastAsia="Palatino Linotype" w:hAnsi="Palatino Linotype"/>
        </w:rPr>
      </w:pPr>
      <w:bookmarkStart w:colFirst="0" w:colLast="0" w:name="_heading=h.kz3bv42wnnw6" w:id="2"/>
      <w:bookmarkEnd w:id="2"/>
      <w:r w:rsidDel="00000000" w:rsidR="00000000" w:rsidRPr="00000000">
        <w:rPr>
          <w:rFonts w:ascii="Palatino Linotype" w:cs="Palatino Linotype" w:eastAsia="Palatino Linotype" w:hAnsi="Palatino Linotype"/>
          <w:rtl w:val="0"/>
        </w:rPr>
        <w:t xml:space="preserve">62 Sujetos Obligados fueron omisos en atender el requerimiento de información de interés público. (Anexo 2).</w:t>
      </w:r>
    </w:p>
    <w:p w:rsidR="00000000" w:rsidDel="00000000" w:rsidP="00000000" w:rsidRDefault="00000000" w:rsidRPr="00000000" w14:paraId="0000004E">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F">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así que, derivado de los listados considerados como información de interés público remitidos a esta Dirección General de Transparencia, Acceso a la Información Pública y Gobierno Abierto, se advierte que al día 10 de marzo de 2023, se contaba con un total de</w:t>
      </w:r>
      <w:r w:rsidDel="00000000" w:rsidR="00000000" w:rsidRPr="00000000">
        <w:rPr>
          <w:rFonts w:ascii="Palatino Linotype" w:cs="Palatino Linotype" w:eastAsia="Palatino Linotype" w:hAnsi="Palatino Linotype"/>
          <w:b w:val="1"/>
          <w:rtl w:val="0"/>
        </w:rPr>
        <w:t xml:space="preserve"> 969 temas para análisis</w:t>
      </w:r>
      <w:r w:rsidDel="00000000" w:rsidR="00000000" w:rsidRPr="00000000">
        <w:rPr>
          <w:rFonts w:ascii="Palatino Linotype" w:cs="Palatino Linotype" w:eastAsia="Palatino Linotype" w:hAnsi="Palatino Linotype"/>
          <w:rtl w:val="0"/>
        </w:rPr>
        <w:t xml:space="preserve">, debido a lo anterior y del análisis normativo realizado, se advierte lo siguiente: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276" w:lineRule="auto"/>
        <w:ind w:left="709" w:right="616"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332 registros fueron descartados por apartarse de las hipótesis previstas en los numerales cuarto y octavo de los Lineamientos de la materia. (Anexo 1).</w:t>
      </w:r>
      <w:r w:rsidDel="00000000" w:rsidR="00000000" w:rsidRPr="00000000">
        <w:rPr>
          <w:rtl w:val="0"/>
        </w:rPr>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0" w:line="276" w:lineRule="auto"/>
        <w:ind w:left="709" w:right="616"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637 </w:t>
      </w:r>
      <w:r w:rsidDel="00000000" w:rsidR="00000000" w:rsidRPr="00000000">
        <w:rPr>
          <w:rFonts w:ascii="Palatino Linotype" w:cs="Palatino Linotype" w:eastAsia="Palatino Linotype" w:hAnsi="Palatino Linotype"/>
          <w:color w:val="000000"/>
          <w:rtl w:val="0"/>
        </w:rPr>
        <w:t xml:space="preserve">registros se consideraron procedentes por</w:t>
      </w:r>
      <w:r w:rsidDel="00000000" w:rsidR="00000000" w:rsidRPr="00000000">
        <w:rPr>
          <w:rFonts w:ascii="Palatino Linotype" w:cs="Palatino Linotype" w:eastAsia="Palatino Linotype" w:hAnsi="Palatino Linotype"/>
          <w:rtl w:val="0"/>
        </w:rPr>
        <w:t xml:space="preserve"> adecuarse a</w:t>
      </w:r>
      <w:r w:rsidDel="00000000" w:rsidR="00000000" w:rsidRPr="00000000">
        <w:rPr>
          <w:rFonts w:ascii="Palatino Linotype" w:cs="Palatino Linotype" w:eastAsia="Palatino Linotype" w:hAnsi="Palatino Linotype"/>
          <w:color w:val="000000"/>
          <w:rtl w:val="0"/>
        </w:rPr>
        <w:t xml:space="preserve"> alguno de los supuestos previstos en los numerales cuarto y octavo de los Lineamientos </w:t>
      </w:r>
      <w:r w:rsidDel="00000000" w:rsidR="00000000" w:rsidRPr="00000000">
        <w:rPr>
          <w:rFonts w:ascii="Palatino Linotype" w:cs="Palatino Linotype" w:eastAsia="Palatino Linotype" w:hAnsi="Palatino Linotype"/>
          <w:rtl w:val="0"/>
        </w:rPr>
        <w:t xml:space="preserve">de la materia</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rtl w:val="0"/>
        </w:rPr>
        <w:t xml:space="preserve">(Catálogo).</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76" w:lineRule="auto"/>
        <w:ind w:left="709" w:right="616"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4">
      <w:pPr>
        <w:spacing w:after="0" w:line="276" w:lineRule="auto"/>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rtl w:val="0"/>
        </w:rPr>
        <w:t xml:space="preserve">No pasa desapercibido, que de los 5 Sujetos Obligados que señalaron no generar temas de interés público, esta Dirección General de Transparencia, Acceso a la Información Pública y Gobierno Abierto, mediante correo electrónico el pasado 14 de febrero del 2023, </w:t>
      </w:r>
      <w:r w:rsidDel="00000000" w:rsidR="00000000" w:rsidRPr="00000000">
        <w:rPr>
          <w:rFonts w:ascii="Palatino Linotype" w:cs="Palatino Linotype" w:eastAsia="Palatino Linotype" w:hAnsi="Palatino Linotype"/>
          <w:color w:val="222222"/>
          <w:rtl w:val="0"/>
        </w:rPr>
        <w:t xml:space="preserve">solicitó se remitiera la información subsanada en un término de 5 días hábiles, contados a partir de la recepción del mismo, conforme lo establece el Lineamiento Noveno, segundo párrafo de los “Lineamientos para establecer el procedimiento de identificación y revisión de la información adicional que publicarán los Sujetos Obligados por considerarse de interés público, así como, mediante llamadas telefónicas realizadas por el personal adscrito a esta </w:t>
      </w:r>
      <w:r w:rsidDel="00000000" w:rsidR="00000000" w:rsidRPr="00000000">
        <w:rPr>
          <w:rFonts w:ascii="Palatino Linotype" w:cs="Palatino Linotype" w:eastAsia="Palatino Linotype" w:hAnsi="Palatino Linotype"/>
          <w:rtl w:val="0"/>
        </w:rPr>
        <w:t xml:space="preserve">Dirección General</w:t>
      </w:r>
      <w:r w:rsidDel="00000000" w:rsidR="00000000" w:rsidRPr="00000000">
        <w:rPr>
          <w:rFonts w:ascii="Palatino Linotype" w:cs="Palatino Linotype" w:eastAsia="Palatino Linotype" w:hAnsi="Palatino Linotype"/>
          <w:color w:val="222222"/>
          <w:rtl w:val="0"/>
        </w:rPr>
        <w:t xml:space="preserve">, por lo que, se les conminó a cumplir con dicho requerimiento, sin tener a la fecha del presente una respuesta favorable.</w:t>
      </w:r>
    </w:p>
    <w:p w:rsidR="00000000" w:rsidDel="00000000" w:rsidP="00000000" w:rsidRDefault="00000000" w:rsidRPr="00000000" w14:paraId="00000055">
      <w:pPr>
        <w:spacing w:after="0" w:line="276" w:lineRule="auto"/>
        <w:jc w:val="both"/>
        <w:rPr>
          <w:rFonts w:ascii="Palatino Linotype" w:cs="Palatino Linotype" w:eastAsia="Palatino Linotype" w:hAnsi="Palatino Linotype"/>
          <w:color w:val="222222"/>
        </w:rPr>
      </w:pPr>
      <w:r w:rsidDel="00000000" w:rsidR="00000000" w:rsidRPr="00000000">
        <w:rPr>
          <w:rtl w:val="0"/>
        </w:rPr>
      </w:r>
    </w:p>
    <w:p w:rsidR="00000000" w:rsidDel="00000000" w:rsidP="00000000" w:rsidRDefault="00000000" w:rsidRPr="00000000" w14:paraId="00000056">
      <w:pPr>
        <w:spacing w:after="0" w:line="276" w:lineRule="auto"/>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color w:val="222222"/>
          <w:rtl w:val="0"/>
        </w:rPr>
        <w:t xml:space="preserve">No obstante lo anterior, </w:t>
      </w:r>
      <w:r w:rsidDel="00000000" w:rsidR="00000000" w:rsidRPr="00000000">
        <w:rPr>
          <w:rFonts w:ascii="Palatino Linotype" w:cs="Palatino Linotype" w:eastAsia="Palatino Linotype" w:hAnsi="Palatino Linotype"/>
          <w:rtl w:val="0"/>
        </w:rPr>
        <w:t xml:space="preserve">resulta relevante señalar que en comparativa con el ejercicio anterior de 2022, 268 Sujetos Obligados dieron respuesta al requerimiento y 24 de ellos indicaron no haber generado información en la materia, así como 64 omisos, sin embargo en esta anualidad, de los 270 Sujetos Obligados que dieron atención, sólo 5 señalaron no haber generado información y 62 de ellos fueron omisos al requerimiento, resaltando que se logró la participación de Sujetos Obligados que en ejercicios anteriores habían señalado no generar información. Asimismo, se tuvo un incremento en la recepción de temas para análisis, puesto que en 2022 se contó con 779 temas y en el presente año se analizaron 969.</w:t>
      </w:r>
      <w:r w:rsidDel="00000000" w:rsidR="00000000" w:rsidRPr="00000000">
        <w:rPr>
          <w:rtl w:val="0"/>
        </w:rPr>
      </w:r>
    </w:p>
    <w:p w:rsidR="00000000" w:rsidDel="00000000" w:rsidP="00000000" w:rsidRDefault="00000000" w:rsidRPr="00000000" w14:paraId="00000057">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8">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anteriormente expuesto y fundado, la Dirección General de Transparencia, Acceso a la Información Pública y Gobierno Abierto:</w:t>
      </w:r>
    </w:p>
    <w:p w:rsidR="00000000" w:rsidDel="00000000" w:rsidP="00000000" w:rsidRDefault="00000000" w:rsidRPr="00000000" w14:paraId="00000059">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A">
      <w:pPr>
        <w:spacing w:after="0" w:line="276"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ACUERDA</w:t>
      </w:r>
      <w:r w:rsidDel="00000000" w:rsidR="00000000" w:rsidRPr="00000000">
        <w:rPr>
          <w:rtl w:val="0"/>
        </w:rPr>
      </w:r>
    </w:p>
    <w:p w:rsidR="00000000" w:rsidDel="00000000" w:rsidP="00000000" w:rsidRDefault="00000000" w:rsidRPr="00000000" w14:paraId="0000005B">
      <w:pPr>
        <w:spacing w:after="0" w:line="276"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C">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ÚNICO.</w:t>
      </w:r>
      <w:r w:rsidDel="00000000" w:rsidR="00000000" w:rsidRPr="00000000">
        <w:rPr>
          <w:rFonts w:ascii="Palatino Linotype" w:cs="Palatino Linotype" w:eastAsia="Palatino Linotype" w:hAnsi="Palatino Linotype"/>
          <w:rtl w:val="0"/>
        </w:rPr>
        <w:t xml:space="preserve"> Se dictamina como información de interés público la correspondiente a los </w:t>
      </w:r>
      <w:r w:rsidDel="00000000" w:rsidR="00000000" w:rsidRPr="00000000">
        <w:rPr>
          <w:rFonts w:ascii="Palatino Linotype" w:cs="Palatino Linotype" w:eastAsia="Palatino Linotype" w:hAnsi="Palatino Linotype"/>
          <w:b w:val="1"/>
          <w:rtl w:val="0"/>
        </w:rPr>
        <w:t xml:space="preserve">637 registros de información</w:t>
      </w:r>
      <w:r w:rsidDel="00000000" w:rsidR="00000000" w:rsidRPr="00000000">
        <w:rPr>
          <w:rFonts w:ascii="Palatino Linotype" w:cs="Palatino Linotype" w:eastAsia="Palatino Linotype" w:hAnsi="Palatino Linotype"/>
          <w:rtl w:val="0"/>
        </w:rPr>
        <w:t xml:space="preserve"> contenidos en diversos listados remitidos por los Sujetos Obligados por adecuarse a los supuestos normativos previstos en los Lineamientos de interés público, conforme se precisa en los considerandos del presente documento y sus anexos. </w:t>
      </w:r>
    </w:p>
    <w:p w:rsidR="00000000" w:rsidDel="00000000" w:rsidP="00000000" w:rsidRDefault="00000000" w:rsidRPr="00000000" w14:paraId="0000005D">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E">
      <w:pPr>
        <w:spacing w:after="0" w:line="276" w:lineRule="auto"/>
        <w:jc w:val="both"/>
        <w:rPr>
          <w:rFonts w:ascii="Palatino Linotype" w:cs="Palatino Linotype" w:eastAsia="Palatino Linotype" w:hAnsi="Palatino Linotype"/>
        </w:rPr>
      </w:pPr>
      <w:bookmarkStart w:colFirst="0" w:colLast="0" w:name="_heading=h.30j0zll" w:id="3"/>
      <w:bookmarkEnd w:id="3"/>
      <w:r w:rsidDel="00000000" w:rsidR="00000000" w:rsidRPr="00000000">
        <w:rPr>
          <w:rFonts w:ascii="Palatino Linotype" w:cs="Palatino Linotype" w:eastAsia="Palatino Linotype" w:hAnsi="Palatino Linotype"/>
          <w:rtl w:val="0"/>
        </w:rPr>
        <w:t xml:space="preserve">El presente dictamen se </w:t>
      </w:r>
      <w:r w:rsidDel="00000000" w:rsidR="00000000" w:rsidRPr="00000000">
        <w:rPr>
          <w:rFonts w:ascii="Palatino Linotype" w:cs="Palatino Linotype" w:eastAsia="Palatino Linotype" w:hAnsi="Palatino Linotype"/>
          <w:highlight w:val="white"/>
          <w:rtl w:val="0"/>
        </w:rPr>
        <w:t xml:space="preserve">emite a </w:t>
      </w:r>
      <w:r w:rsidDel="00000000" w:rsidR="00000000" w:rsidRPr="00000000">
        <w:rPr>
          <w:rFonts w:ascii="Palatino Linotype" w:cs="Palatino Linotype" w:eastAsia="Palatino Linotype" w:hAnsi="Palatino Linotype"/>
          <w:rtl w:val="0"/>
        </w:rPr>
        <w:t xml:space="preserve">los 10 días </w:t>
      </w:r>
      <w:r w:rsidDel="00000000" w:rsidR="00000000" w:rsidRPr="00000000">
        <w:rPr>
          <w:rFonts w:ascii="Palatino Linotype" w:cs="Palatino Linotype" w:eastAsia="Palatino Linotype" w:hAnsi="Palatino Linotype"/>
          <w:highlight w:val="white"/>
          <w:rtl w:val="0"/>
        </w:rPr>
        <w:t xml:space="preserve">del mes de marzo de 2023.----------------------------</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-1057270</wp:posOffset>
          </wp:positionH>
          <wp:positionV relativeFrom="paragraph">
            <wp:posOffset>-477513</wp:posOffset>
          </wp:positionV>
          <wp:extent cx="7756263" cy="10101221"/>
          <wp:effectExtent b="0" l="0" r="0" t="0"/>
          <wp:wrapNone/>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56263" cy="10101221"/>
                  </a:xfrm>
                  <a:prstGeom prst="rect"/>
                  <a:ln/>
                </pic:spPr>
              </pic:pic>
            </a:graphicData>
          </a:graphic>
        </wp:anchor>
      </w:drawing>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color w:val="00000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101600</wp:posOffset>
              </wp:positionV>
              <wp:extent cx="4848225" cy="335915"/>
              <wp:effectExtent b="0" l="0" r="0" t="0"/>
              <wp:wrapNone/>
              <wp:docPr id="12" name=""/>
              <a:graphic>
                <a:graphicData uri="http://schemas.microsoft.com/office/word/2010/wordprocessingShape">
                  <wps:wsp>
                    <wps:cNvSpPr/>
                    <wps:cNvPr id="2" name="Shape 2"/>
                    <wps:spPr>
                      <a:xfrm>
                        <a:off x="2936175" y="3626330"/>
                        <a:ext cx="4819650" cy="30734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4"/>
                              <w:highlight w:val="white"/>
                              <w:vertAlign w:val="baseline"/>
                            </w:rPr>
                            <w:t xml:space="preserve"> “</w:t>
                          </w:r>
                          <w:r w:rsidDel="00000000" w:rsidR="00000000" w:rsidRPr="00000000">
                            <w:rPr>
                              <w:rFonts w:ascii="Palatino Linotype" w:cs="Palatino Linotype" w:eastAsia="Palatino Linotype" w:hAnsi="Palatino Linotype"/>
                              <w:b w:val="0"/>
                              <w:i w:val="0"/>
                              <w:smallCaps w:val="0"/>
                              <w:strike w:val="0"/>
                              <w:color w:val="222222"/>
                              <w:sz w:val="16"/>
                              <w:highlight w:val="white"/>
                              <w:vertAlign w:val="baseline"/>
                            </w:rPr>
                            <w:t xml:space="preserve">2023. Septuagésimo Aniversario del Reconocimiento del Derecho al Voto de las Mujeres en México”.</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6"/>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101600</wp:posOffset>
              </wp:positionV>
              <wp:extent cx="4848225" cy="335915"/>
              <wp:effectExtent b="0" l="0" r="0" t="0"/>
              <wp:wrapNone/>
              <wp:docPr id="1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848225" cy="335915"/>
                      </a:xfrm>
                      <a:prstGeom prst="rect"/>
                      <a:ln/>
                    </pic:spPr>
                  </pic:pic>
                </a:graphicData>
              </a:graphic>
            </wp:anchor>
          </w:drawing>
        </mc:Fallback>
      </mc:AlternateConten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419"/>
        <w:tab w:val="right" w:leader="none" w:pos="8838"/>
        <w:tab w:val="left" w:leader="none" w:pos="8400"/>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color w:val="000000"/>
        <w:rtl w:val="0"/>
      </w:rPr>
      <w:tab/>
      <w:tab/>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C0FBA"/>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CF08F0"/>
    <w:pPr>
      <w:ind w:left="720"/>
      <w:contextualSpacing w:val="1"/>
    </w:pPr>
  </w:style>
  <w:style w:type="paragraph" w:styleId="Encabezado">
    <w:name w:val="header"/>
    <w:basedOn w:val="Normal"/>
    <w:link w:val="EncabezadoCar"/>
    <w:uiPriority w:val="99"/>
    <w:unhideWhenUsed w:val="1"/>
    <w:rsid w:val="008973F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73F9"/>
  </w:style>
  <w:style w:type="paragraph" w:styleId="Piedepgina">
    <w:name w:val="footer"/>
    <w:basedOn w:val="Normal"/>
    <w:link w:val="PiedepginaCar"/>
    <w:uiPriority w:val="99"/>
    <w:unhideWhenUsed w:val="1"/>
    <w:rsid w:val="008973F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73F9"/>
  </w:style>
  <w:style w:type="table" w:styleId="Tablaconcuadrcula">
    <w:name w:val="Table Grid"/>
    <w:basedOn w:val="Tablanormal"/>
    <w:uiPriority w:val="39"/>
    <w:rsid w:val="0012730D"/>
    <w:pPr>
      <w:spacing w:after="0" w:line="240" w:lineRule="auto"/>
    </w:pPr>
    <w:rPr>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ario">
    <w:name w:val="annotation reference"/>
    <w:basedOn w:val="Fuentedeprrafopredeter"/>
    <w:uiPriority w:val="99"/>
    <w:semiHidden w:val="1"/>
    <w:unhideWhenUsed w:val="1"/>
    <w:rsid w:val="001C1B28"/>
    <w:rPr>
      <w:sz w:val="16"/>
      <w:szCs w:val="16"/>
    </w:rPr>
  </w:style>
  <w:style w:type="paragraph" w:styleId="Textocomentario">
    <w:name w:val="annotation text"/>
    <w:basedOn w:val="Normal"/>
    <w:link w:val="TextocomentarioCar"/>
    <w:uiPriority w:val="99"/>
    <w:semiHidden w:val="1"/>
    <w:unhideWhenUsed w:val="1"/>
    <w:rsid w:val="001C1B2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1C1B28"/>
    <w:rPr>
      <w:rFonts w:ascii="Calibri" w:cs="Calibri" w:eastAsia="Calibri" w:hAnsi="Calibri"/>
      <w:sz w:val="20"/>
      <w:szCs w:val="20"/>
      <w:lang w:eastAsia="es-MX"/>
    </w:rPr>
  </w:style>
  <w:style w:type="paragraph" w:styleId="Asuntodelcomentario">
    <w:name w:val="annotation subject"/>
    <w:basedOn w:val="Textocomentario"/>
    <w:next w:val="Textocomentario"/>
    <w:link w:val="AsuntodelcomentarioCar"/>
    <w:uiPriority w:val="99"/>
    <w:semiHidden w:val="1"/>
    <w:unhideWhenUsed w:val="1"/>
    <w:rsid w:val="001C1B28"/>
    <w:rPr>
      <w:b w:val="1"/>
      <w:bCs w:val="1"/>
    </w:rPr>
  </w:style>
  <w:style w:type="character" w:styleId="AsuntodelcomentarioCar" w:customStyle="1">
    <w:name w:val="Asunto del comentario Car"/>
    <w:basedOn w:val="TextocomentarioCar"/>
    <w:link w:val="Asuntodelcomentario"/>
    <w:uiPriority w:val="99"/>
    <w:semiHidden w:val="1"/>
    <w:rsid w:val="001C1B28"/>
    <w:rPr>
      <w:rFonts w:ascii="Calibri" w:cs="Calibri" w:eastAsia="Calibri" w:hAnsi="Calibri"/>
      <w:b w:val="1"/>
      <w:bCs w:val="1"/>
      <w:sz w:val="20"/>
      <w:szCs w:val="20"/>
      <w:lang w:eastAsia="es-MX"/>
    </w:rPr>
  </w:style>
  <w:style w:type="paragraph" w:styleId="Textodeglobo">
    <w:name w:val="Balloon Text"/>
    <w:basedOn w:val="Normal"/>
    <w:link w:val="TextodegloboCar"/>
    <w:uiPriority w:val="99"/>
    <w:semiHidden w:val="1"/>
    <w:unhideWhenUsed w:val="1"/>
    <w:rsid w:val="001C1B2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C1B28"/>
    <w:rPr>
      <w:rFonts w:ascii="Tahoma" w:cs="Tahoma" w:eastAsia="Calibri" w:hAnsi="Tahoma"/>
      <w:sz w:val="16"/>
      <w:szCs w:val="16"/>
      <w:lang w:eastAsia="es-MX"/>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4T2jF8oDB8lF8eoXBdJGO0bSfQ==">AMUW2mVCljbEklwfKb5FQR/yT09q+CiNa9qCtTzm8HFw7dvU8b6tdCHdC50RtWZA2Kw2ljs0ioRp4mUOAWmm97SVil4TSbAZa6nlK4SAIOfuyPJOaPrP+wT3vrn9AFUsnRQBm4KmeyxY+kb27EP2X/ymEkM3R41Odf9z7wCnUJSXLsApw6qem2M=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2023-03-06T17:41:00Z</dcterms:created>
  <dc:creator>USER</dc:creator>
</cp:coreProperties>
</file>