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b w:val="1"/>
        </w:rPr>
      </w:pPr>
      <w:bookmarkStart w:colFirst="0" w:colLast="0" w:name="_heading=h.gjdgxs" w:id="0"/>
      <w:bookmarkEnd w:id="0"/>
      <w:r w:rsidDel="00000000" w:rsidR="00000000" w:rsidRPr="00000000">
        <w:rPr>
          <w:rFonts w:ascii="Palatino Linotype" w:cs="Palatino Linotype" w:eastAsia="Palatino Linotype" w:hAnsi="Palatino Linotype"/>
          <w:b w:val="1"/>
          <w:rtl w:val="0"/>
        </w:rPr>
        <w:t xml:space="preserve">DICTAMEN DEL LISTADO</w:t>
      </w:r>
      <w:r w:rsidDel="00000000" w:rsidR="00000000" w:rsidRPr="00000000">
        <w:rPr>
          <w:rFonts w:ascii="Palatino Linotype" w:cs="Palatino Linotype" w:eastAsia="Palatino Linotype" w:hAnsi="Palatino Linotype"/>
          <w:b w:val="1"/>
          <w:color w:val="000000"/>
          <w:rtl w:val="0"/>
        </w:rPr>
        <w:t xml:space="preserve"> DE PERSONAS FÍSICAS Y </w:t>
      </w:r>
      <w:r w:rsidDel="00000000" w:rsidR="00000000" w:rsidRPr="00000000">
        <w:rPr>
          <w:rFonts w:ascii="Palatino Linotype" w:cs="Palatino Linotype" w:eastAsia="Palatino Linotype" w:hAnsi="Palatino Linotype"/>
          <w:b w:val="1"/>
          <w:rtl w:val="0"/>
        </w:rPr>
        <w:t xml:space="preserve">JURÍDICO</w:t>
      </w:r>
      <w:r w:rsidDel="00000000" w:rsidR="00000000" w:rsidRPr="00000000">
        <w:rPr>
          <w:rFonts w:ascii="Palatino Linotype" w:cs="Palatino Linotype" w:eastAsia="Palatino Linotype" w:hAnsi="Palatino Linotype"/>
          <w:b w:val="1"/>
          <w:color w:val="000000"/>
          <w:rtl w:val="0"/>
        </w:rPr>
        <w:t xml:space="preserve"> COLECTIVAS QUE RECIBEN Y EJERCEN RECURSOS PÚBLICOS Y/O REALIZAN ACTOS DE AUTORIDAD CORRESPONDIENTE AL EJERCICIO 202</w:t>
      </w:r>
      <w:r w:rsidDel="00000000" w:rsidR="00000000" w:rsidRPr="00000000">
        <w:rPr>
          <w:rFonts w:ascii="Palatino Linotype" w:cs="Palatino Linotype" w:eastAsia="Palatino Linotype" w:hAnsi="Palatino Linotype"/>
          <w:b w:val="1"/>
          <w:rtl w:val="0"/>
        </w:rPr>
        <w:t xml:space="preserve">3</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76" w:lineRule="auto"/>
        <w:jc w:val="center"/>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CONSIDERANDOS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76" w:lineRule="auto"/>
        <w:jc w:val="center"/>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El Instituto de Transparencia, Acceso a la Información Pública y Protección de Datos Personales del Estado de México y Municipios (Infoem), de conformidad con los artículos 116, fracción VIII de la Constitución Política de los Estados Unidos Mexicanos, 5, párrafos vigésimo noveno, trigésimo y </w:t>
      </w:r>
      <w:r w:rsidDel="00000000" w:rsidR="00000000" w:rsidRPr="00000000">
        <w:rPr>
          <w:rFonts w:ascii="Palatino Linotype" w:cs="Palatino Linotype" w:eastAsia="Palatino Linotype" w:hAnsi="Palatino Linotype"/>
          <w:rtl w:val="0"/>
        </w:rPr>
        <w:t xml:space="preserve">trigésimo primero</w:t>
      </w:r>
      <w:r w:rsidDel="00000000" w:rsidR="00000000" w:rsidRPr="00000000">
        <w:rPr>
          <w:rFonts w:ascii="Palatino Linotype" w:cs="Palatino Linotype" w:eastAsia="Palatino Linotype" w:hAnsi="Palatino Linotype"/>
          <w:color w:val="000000"/>
          <w:rtl w:val="0"/>
        </w:rPr>
        <w:t xml:space="preserve">, fracción VIII de la Constitución Política del Estado Libre y Soberano de México y 29 de la Ley de Transparencia y Acceso a la Información Pública del Estado de México y Municipios (Ley de Transparencia Local), es un </w:t>
      </w:r>
      <w:r w:rsidDel="00000000" w:rsidR="00000000" w:rsidRPr="00000000">
        <w:rPr>
          <w:rFonts w:ascii="Palatino Linotype" w:cs="Palatino Linotype" w:eastAsia="Palatino Linotype" w:hAnsi="Palatino Linotype"/>
          <w:rtl w:val="0"/>
        </w:rPr>
        <w:t xml:space="preserve">o</w:t>
      </w:r>
      <w:r w:rsidDel="00000000" w:rsidR="00000000" w:rsidRPr="00000000">
        <w:rPr>
          <w:rFonts w:ascii="Palatino Linotype" w:cs="Palatino Linotype" w:eastAsia="Palatino Linotype" w:hAnsi="Palatino Linotype"/>
          <w:color w:val="000000"/>
          <w:rtl w:val="0"/>
        </w:rPr>
        <w:t xml:space="preserve">rganismo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en materia de transparencia de garantizar el ejercicio de los derechos de acceso a la información pública y la protección de datos personales en posesión de los Sujetos Obligados.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color w:val="000000"/>
          <w:rtl w:val="0"/>
        </w:rPr>
        <w:t xml:space="preserve">Con fundamento en </w:t>
      </w:r>
      <w:r w:rsidDel="00000000" w:rsidR="00000000" w:rsidRPr="00000000">
        <w:rPr>
          <w:rFonts w:ascii="Palatino Linotype" w:cs="Palatino Linotype" w:eastAsia="Palatino Linotype" w:hAnsi="Palatino Linotype"/>
          <w:rtl w:val="0"/>
        </w:rPr>
        <w:t xml:space="preserve">los </w:t>
      </w:r>
      <w:r w:rsidDel="00000000" w:rsidR="00000000" w:rsidRPr="00000000">
        <w:rPr>
          <w:rFonts w:ascii="Palatino Linotype" w:cs="Palatino Linotype" w:eastAsia="Palatino Linotype" w:hAnsi="Palatino Linotype"/>
          <w:color w:val="000000"/>
          <w:rtl w:val="0"/>
        </w:rPr>
        <w:t xml:space="preserve">artículos 104 y 105 de la Ley de Transparencia Local, el I</w:t>
      </w:r>
      <w:r w:rsidDel="00000000" w:rsidR="00000000" w:rsidRPr="00000000">
        <w:rPr>
          <w:rFonts w:ascii="Palatino Linotype" w:cs="Palatino Linotype" w:eastAsia="Palatino Linotype" w:hAnsi="Palatino Linotype"/>
          <w:rtl w:val="0"/>
        </w:rPr>
        <w:t xml:space="preserve">nfoem</w:t>
      </w:r>
      <w:r w:rsidDel="00000000" w:rsidR="00000000" w:rsidRPr="00000000">
        <w:rPr>
          <w:rFonts w:ascii="Palatino Linotype" w:cs="Palatino Linotype" w:eastAsia="Palatino Linotype" w:hAnsi="Palatino Linotype"/>
          <w:color w:val="000000"/>
          <w:rtl w:val="0"/>
        </w:rPr>
        <w:t xml:space="preserve">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color w:val="000000"/>
          <w:rtl w:val="0"/>
        </w:rPr>
        <w:t xml:space="preserve">ujetos </w:t>
      </w:r>
      <w:r w:rsidDel="00000000" w:rsidR="00000000" w:rsidRPr="00000000">
        <w:rPr>
          <w:rFonts w:ascii="Palatino Linotype" w:cs="Palatino Linotype" w:eastAsia="Palatino Linotype" w:hAnsi="Palatino Linotype"/>
          <w:rtl w:val="0"/>
        </w:rPr>
        <w:t xml:space="preserve">O</w:t>
      </w:r>
      <w:r w:rsidDel="00000000" w:rsidR="00000000" w:rsidRPr="00000000">
        <w:rPr>
          <w:rFonts w:ascii="Palatino Linotype" w:cs="Palatino Linotype" w:eastAsia="Palatino Linotype" w:hAnsi="Palatino Linotype"/>
          <w:color w:val="000000"/>
          <w:rtl w:val="0"/>
        </w:rPr>
        <w:t xml:space="preserve">bligados que les asignen dichos recursos o, en los términos de las disposiciones aplicables, realicen actos de autoridad.</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ello, en atención al artículo 81 de la Ley General de Transparencia Acceso a la Información Pública y en el Anexo XIV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l</w:t>
      </w:r>
      <w:r w:rsidDel="00000000" w:rsidR="00000000" w:rsidRPr="00000000">
        <w:rPr>
          <w:rFonts w:ascii="Palatino Linotype" w:cs="Palatino Linotype" w:eastAsia="Palatino Linotype" w:hAnsi="Palatino Linotype"/>
          <w:color w:val="000000"/>
          <w:rtl w:val="0"/>
        </w:rPr>
        <w:t xml:space="preserve">os </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color w:val="000000"/>
          <w:rtl w:val="0"/>
        </w:rPr>
        <w:t xml:space="preserve">ujetos </w:t>
      </w:r>
      <w:r w:rsidDel="00000000" w:rsidR="00000000" w:rsidRPr="00000000">
        <w:rPr>
          <w:rFonts w:ascii="Palatino Linotype" w:cs="Palatino Linotype" w:eastAsia="Palatino Linotype" w:hAnsi="Palatino Linotype"/>
          <w:rtl w:val="0"/>
        </w:rPr>
        <w:t xml:space="preserve">O</w:t>
      </w:r>
      <w:r w:rsidDel="00000000" w:rsidR="00000000" w:rsidRPr="00000000">
        <w:rPr>
          <w:rFonts w:ascii="Palatino Linotype" w:cs="Palatino Linotype" w:eastAsia="Palatino Linotype" w:hAnsi="Palatino Linotype"/>
          <w:color w:val="000000"/>
          <w:rtl w:val="0"/>
        </w:rPr>
        <w:t xml:space="preserve">bligados deberán enviar a</w:t>
      </w:r>
      <w:r w:rsidDel="00000000" w:rsidR="00000000" w:rsidRPr="00000000">
        <w:rPr>
          <w:rFonts w:ascii="Palatino Linotype" w:cs="Palatino Linotype" w:eastAsia="Palatino Linotype" w:hAnsi="Palatino Linotype"/>
          <w:rtl w:val="0"/>
        </w:rPr>
        <w:t xml:space="preserve"> este</w:t>
      </w:r>
      <w:r w:rsidDel="00000000" w:rsidR="00000000" w:rsidRPr="00000000">
        <w:rPr>
          <w:rFonts w:ascii="Palatino Linotype" w:cs="Palatino Linotype" w:eastAsia="Palatino Linotype" w:hAnsi="Palatino Linotype"/>
          <w:color w:val="000000"/>
          <w:rtl w:val="0"/>
        </w:rPr>
        <w:t xml:space="preserve"> Instituto, el listado de las personas físicas o jurídicas colectivas a los que, por cualquier motivo, asignaron recursos públicos o, en los términos de las disposiciones jurídicas aplicables, realicen actos de autoridad.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Para resolver sobre el cumplimiento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color w:val="000000"/>
          <w:rtl w:val="0"/>
        </w:rPr>
        <w:t xml:space="preserve">el Instituto tomará en cuenta si realiza una función gubernamental, el nivel de financiamiento público, el nivel de regulación e involucramiento gubernamental y si el gobierno estatal participó en su creación.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C</w:t>
      </w:r>
      <w:r w:rsidDel="00000000" w:rsidR="00000000" w:rsidRPr="00000000">
        <w:rPr>
          <w:rFonts w:ascii="Palatino Linotype" w:cs="Palatino Linotype" w:eastAsia="Palatino Linotype" w:hAnsi="Palatino Linotype"/>
          <w:color w:val="000000"/>
          <w:rtl w:val="0"/>
        </w:rPr>
        <w:t xml:space="preserve">onforme a lo dispuesto por el </w:t>
      </w:r>
      <w:r w:rsidDel="00000000" w:rsidR="00000000" w:rsidRPr="00000000">
        <w:rPr>
          <w:rFonts w:ascii="Palatino Linotype" w:cs="Palatino Linotype" w:eastAsia="Palatino Linotype" w:hAnsi="Palatino Linotype"/>
          <w:rtl w:val="0"/>
        </w:rPr>
        <w:t xml:space="preserve">a</w:t>
      </w:r>
      <w:r w:rsidDel="00000000" w:rsidR="00000000" w:rsidRPr="00000000">
        <w:rPr>
          <w:rFonts w:ascii="Palatino Linotype" w:cs="Palatino Linotype" w:eastAsia="Palatino Linotype" w:hAnsi="Palatino Linotype"/>
          <w:color w:val="000000"/>
          <w:rtl w:val="0"/>
        </w:rPr>
        <w:t xml:space="preserve">rtículo </w:t>
      </w:r>
      <w:r w:rsidDel="00000000" w:rsidR="00000000" w:rsidRPr="00000000">
        <w:rPr>
          <w:rFonts w:ascii="Palatino Linotype" w:cs="Palatino Linotype" w:eastAsia="Palatino Linotype" w:hAnsi="Palatino Linotype"/>
          <w:rtl w:val="0"/>
        </w:rPr>
        <w:t xml:space="preserve">104 de la Ley de Transparencia, Acceso a la Información Pública del Estado de México y Municipios y artículo</w:t>
      </w:r>
      <w:r w:rsidDel="00000000" w:rsidR="00000000" w:rsidRPr="00000000">
        <w:rPr>
          <w:rFonts w:ascii="Palatino Linotype" w:cs="Palatino Linotype" w:eastAsia="Palatino Linotype" w:hAnsi="Palatino Linotype"/>
          <w:color w:val="000000"/>
          <w:rtl w:val="0"/>
        </w:rPr>
        <w:t xml:space="preserve"> 25 fracción XI del Reglamento Interior de este Órgano Garante, la Dirección General de Transparencia, Acceso a la Información Pública y Gobierno Abierto (Dirección General)</w:t>
      </w:r>
      <w:r w:rsidDel="00000000" w:rsidR="00000000" w:rsidRPr="00000000">
        <w:rPr>
          <w:rFonts w:ascii="Palatino Linotype" w:cs="Palatino Linotype" w:eastAsia="Palatino Linotype" w:hAnsi="Palatino Linotype"/>
          <w:b w:val="1"/>
          <w:rtl w:val="0"/>
        </w:rPr>
        <w:t xml:space="preserve"> t</w:t>
      </w:r>
      <w:r w:rsidDel="00000000" w:rsidR="00000000" w:rsidRPr="00000000">
        <w:rPr>
          <w:rFonts w:ascii="Palatino Linotype" w:cs="Palatino Linotype" w:eastAsia="Palatino Linotype" w:hAnsi="Palatino Linotype"/>
          <w:rtl w:val="0"/>
        </w:rPr>
        <w:t xml:space="preserve">iene la atribución de r</w:t>
      </w:r>
      <w:r w:rsidDel="00000000" w:rsidR="00000000" w:rsidRPr="00000000">
        <w:rPr>
          <w:rFonts w:ascii="Palatino Linotype" w:cs="Palatino Linotype" w:eastAsia="Palatino Linotype" w:hAnsi="Palatino Linotype"/>
          <w:color w:val="000000"/>
          <w:rtl w:val="0"/>
        </w:rPr>
        <w:t xml:space="preserve">equerir a los Sujetos Obligados el listado de las personas físicas o jurídicas colectivas a las que, por cualquier motivo, asignaron recursos públicos o, en los términos de las disposiciones jurídicas aplicables, realicen actos de autoridad, para la elaboración del padrón correspondiente.</w:t>
      </w:r>
    </w:p>
    <w:p w:rsidR="00000000" w:rsidDel="00000000" w:rsidP="00000000" w:rsidRDefault="00000000" w:rsidRPr="00000000" w14:paraId="0000000D">
      <w:pPr>
        <w:spacing w:after="0" w:line="276"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Es así que, con objeto de dar continuidad a la atribución antes referida dicha </w:t>
      </w:r>
      <w:r w:rsidDel="00000000" w:rsidR="00000000" w:rsidRPr="00000000">
        <w:rPr>
          <w:rFonts w:ascii="Palatino Linotype" w:cs="Palatino Linotype" w:eastAsia="Palatino Linotype" w:hAnsi="Palatino Linotype"/>
          <w:color w:val="000000"/>
          <w:rtl w:val="0"/>
        </w:rPr>
        <w:t xml:space="preserve">Dirección General, </w:t>
      </w:r>
      <w:r w:rsidDel="00000000" w:rsidR="00000000" w:rsidRPr="00000000">
        <w:rPr>
          <w:rFonts w:ascii="Palatino Linotype" w:cs="Palatino Linotype" w:eastAsia="Palatino Linotype" w:hAnsi="Palatino Linotype"/>
          <w:rtl w:val="0"/>
        </w:rPr>
        <w:t xml:space="preserve">el día 23 de enero de 2023,</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rtl w:val="0"/>
        </w:rPr>
        <w:t xml:space="preserve">solicitó mediante </w:t>
      </w:r>
      <w:r w:rsidDel="00000000" w:rsidR="00000000" w:rsidRPr="00000000">
        <w:rPr>
          <w:rFonts w:ascii="Palatino Linotype" w:cs="Palatino Linotype" w:eastAsia="Palatino Linotype" w:hAnsi="Palatino Linotype"/>
          <w:color w:val="000000"/>
          <w:rtl w:val="0"/>
        </w:rPr>
        <w:t xml:space="preserve">correo </w:t>
      </w:r>
      <w:r w:rsidDel="00000000" w:rsidR="00000000" w:rsidRPr="00000000">
        <w:rPr>
          <w:rFonts w:ascii="Palatino Linotype" w:cs="Palatino Linotype" w:eastAsia="Palatino Linotype" w:hAnsi="Palatino Linotype"/>
          <w:rtl w:val="0"/>
        </w:rPr>
        <w:t xml:space="preserve">electrónico </w:t>
      </w:r>
      <w:r w:rsidDel="00000000" w:rsidR="00000000" w:rsidRPr="00000000">
        <w:rPr>
          <w:rFonts w:ascii="Palatino Linotype" w:cs="Palatino Linotype" w:eastAsia="Palatino Linotype" w:hAnsi="Palatino Linotype"/>
          <w:color w:val="000000"/>
          <w:rtl w:val="0"/>
        </w:rPr>
        <w:t xml:space="preserve">a los</w:t>
      </w:r>
      <w:r w:rsidDel="00000000" w:rsidR="00000000" w:rsidRPr="00000000">
        <w:rPr>
          <w:rFonts w:ascii="Palatino Linotype" w:cs="Palatino Linotype" w:eastAsia="Palatino Linotype" w:hAnsi="Palatino Linotype"/>
          <w:b w:val="1"/>
          <w:color w:val="000000"/>
          <w:rtl w:val="0"/>
        </w:rPr>
        <w:t xml:space="preserve"> </w:t>
      </w:r>
      <w:r w:rsidDel="00000000" w:rsidR="00000000" w:rsidRPr="00000000">
        <w:rPr>
          <w:rFonts w:ascii="Palatino Linotype" w:cs="Palatino Linotype" w:eastAsia="Palatino Linotype" w:hAnsi="Palatino Linotype"/>
          <w:color w:val="000000"/>
          <w:rtl w:val="0"/>
        </w:rPr>
        <w:t xml:space="preserve">33</w:t>
      </w:r>
      <w:r w:rsidDel="00000000" w:rsidR="00000000" w:rsidRPr="00000000">
        <w:rPr>
          <w:rFonts w:ascii="Palatino Linotype" w:cs="Palatino Linotype" w:eastAsia="Palatino Linotype" w:hAnsi="Palatino Linotype"/>
          <w:rtl w:val="0"/>
        </w:rPr>
        <w:t xml:space="preserve">2</w:t>
      </w:r>
      <w:r w:rsidDel="00000000" w:rsidR="00000000" w:rsidRPr="00000000">
        <w:rPr>
          <w:rFonts w:ascii="Palatino Linotype" w:cs="Palatino Linotype" w:eastAsia="Palatino Linotype" w:hAnsi="Palatino Linotype"/>
          <w:b w:val="1"/>
          <w:color w:val="000000"/>
          <w:rtl w:val="0"/>
        </w:rPr>
        <w:t xml:space="preserve"> </w:t>
      </w:r>
      <w:r w:rsidDel="00000000" w:rsidR="00000000" w:rsidRPr="00000000">
        <w:rPr>
          <w:rFonts w:ascii="Palatino Linotype" w:cs="Palatino Linotype" w:eastAsia="Palatino Linotype" w:hAnsi="Palatino Linotype"/>
          <w:color w:val="000000"/>
          <w:rtl w:val="0"/>
        </w:rPr>
        <w:t xml:space="preserve">Sujetos Obligados vigentes, el listado de las </w:t>
      </w:r>
      <w:r w:rsidDel="00000000" w:rsidR="00000000" w:rsidRPr="00000000">
        <w:rPr>
          <w:rFonts w:ascii="Palatino Linotype" w:cs="Palatino Linotype" w:eastAsia="Palatino Linotype" w:hAnsi="Palatino Linotype"/>
          <w:rtl w:val="0"/>
        </w:rPr>
        <w:t xml:space="preserve">p</w:t>
      </w:r>
      <w:r w:rsidDel="00000000" w:rsidR="00000000" w:rsidRPr="00000000">
        <w:rPr>
          <w:rFonts w:ascii="Palatino Linotype" w:cs="Palatino Linotype" w:eastAsia="Palatino Linotype" w:hAnsi="Palatino Linotype"/>
          <w:color w:val="000000"/>
          <w:rtl w:val="0"/>
        </w:rPr>
        <w:t xml:space="preserve">ersonas </w:t>
      </w:r>
      <w:r w:rsidDel="00000000" w:rsidR="00000000" w:rsidRPr="00000000">
        <w:rPr>
          <w:rFonts w:ascii="Palatino Linotype" w:cs="Palatino Linotype" w:eastAsia="Palatino Linotype" w:hAnsi="Palatino Linotype"/>
          <w:rtl w:val="0"/>
        </w:rPr>
        <w:t xml:space="preserve">f</w:t>
      </w:r>
      <w:r w:rsidDel="00000000" w:rsidR="00000000" w:rsidRPr="00000000">
        <w:rPr>
          <w:rFonts w:ascii="Palatino Linotype" w:cs="Palatino Linotype" w:eastAsia="Palatino Linotype" w:hAnsi="Palatino Linotype"/>
          <w:color w:val="000000"/>
          <w:rtl w:val="0"/>
        </w:rPr>
        <w:t xml:space="preserve">ísicas o </w:t>
      </w:r>
      <w:r w:rsidDel="00000000" w:rsidR="00000000" w:rsidRPr="00000000">
        <w:rPr>
          <w:rFonts w:ascii="Palatino Linotype" w:cs="Palatino Linotype" w:eastAsia="Palatino Linotype" w:hAnsi="Palatino Linotype"/>
          <w:rtl w:val="0"/>
        </w:rPr>
        <w:t xml:space="preserve">j</w:t>
      </w:r>
      <w:r w:rsidDel="00000000" w:rsidR="00000000" w:rsidRPr="00000000">
        <w:rPr>
          <w:rFonts w:ascii="Palatino Linotype" w:cs="Palatino Linotype" w:eastAsia="Palatino Linotype" w:hAnsi="Palatino Linotype"/>
          <w:color w:val="000000"/>
          <w:rtl w:val="0"/>
        </w:rPr>
        <w:t xml:space="preserve">urídicas </w:t>
      </w:r>
      <w:r w:rsidDel="00000000" w:rsidR="00000000" w:rsidRPr="00000000">
        <w:rPr>
          <w:rFonts w:ascii="Palatino Linotype" w:cs="Palatino Linotype" w:eastAsia="Palatino Linotype" w:hAnsi="Palatino Linotype"/>
          <w:rtl w:val="0"/>
        </w:rPr>
        <w:t xml:space="preserve">c</w:t>
      </w:r>
      <w:r w:rsidDel="00000000" w:rsidR="00000000" w:rsidRPr="00000000">
        <w:rPr>
          <w:rFonts w:ascii="Palatino Linotype" w:cs="Palatino Linotype" w:eastAsia="Palatino Linotype" w:hAnsi="Palatino Linotype"/>
          <w:color w:val="000000"/>
          <w:rtl w:val="0"/>
        </w:rPr>
        <w:t xml:space="preserve">olectivas a los que por cualquier motivo, asignaron recursos públicos o, en los términos de las disposiciones jurídicas aplicables, realicen actos de autoridad.</w:t>
      </w:r>
      <w:r w:rsidDel="00000000" w:rsidR="00000000" w:rsidRPr="00000000">
        <w:rPr>
          <w:rFonts w:ascii="Palatino Linotype" w:cs="Palatino Linotype" w:eastAsia="Palatino Linotype" w:hAnsi="Palatino Linotype"/>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0">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acuerdo con lo previsto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dichos listados deberán contener como mínimo la siguiente información:</w:t>
      </w:r>
    </w:p>
    <w:p w:rsidR="00000000" w:rsidDel="00000000" w:rsidP="00000000" w:rsidRDefault="00000000" w:rsidRPr="00000000" w14:paraId="00000011">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Sujeto obligado</w:t>
      </w:r>
      <w:r w:rsidDel="00000000" w:rsidR="00000000" w:rsidRPr="00000000">
        <w:rPr>
          <w:rtl w:val="0"/>
        </w:rPr>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Fecha de elaboración del listado (con el formato día/mes/año)</w:t>
      </w:r>
      <w:r w:rsidDel="00000000" w:rsidR="00000000" w:rsidRPr="00000000">
        <w:rPr>
          <w:rtl w:val="0"/>
        </w:rPr>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Ejercicio en el que se entregó o entregará el recurso público a las personas físicas o morales</w:t>
      </w:r>
      <w:r w:rsidDel="00000000" w:rsidR="00000000" w:rsidRPr="00000000">
        <w:rPr>
          <w:rtl w:val="0"/>
        </w:rPr>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Fecha en la que se entregó o entregará el recurso (con el formato día/mes/año)</w:t>
      </w:r>
      <w:r w:rsidDel="00000000" w:rsidR="00000000" w:rsidRPr="00000000">
        <w:rPr>
          <w:rtl w:val="0"/>
        </w:rPr>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Tipo de persona: física, moral</w:t>
      </w:r>
      <w:r w:rsidDel="00000000" w:rsidR="00000000" w:rsidRPr="00000000">
        <w:rPr>
          <w:rtl w:val="0"/>
        </w:rPr>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Nombre completo de la persona física, denominación, razón social o nombre comercial de la persona moral que recibirá/ó y ejercerá/ió recursos públicos o ejercerá/ió actos de autoridad</w:t>
      </w:r>
      <w:r w:rsidDel="00000000" w:rsidR="00000000" w:rsidRPr="00000000">
        <w:rPr>
          <w:rtl w:val="0"/>
        </w:rPr>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Documento de creación (tratándose de personas morales)</w:t>
      </w: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Modalidad de otorgamiento del recurso público: asignación, aportación, subsidio, aprovechamiento, mejora, contribución, financiamiento, patrocinio, copatrocinio, subvención, pago, entrega, permiso de uso.</w:t>
      </w: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Tipo de recurso público: dinero, en especie, bienes patrimoniales, otra.</w:t>
      </w: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Ámbito de aplicación, por ejemplo: educación, salud, seguridad, Banca Social (sector de Ahorro y Crédito Popular 261),</w:t>
      </w:r>
      <w:r w:rsidDel="00000000" w:rsidR="00000000" w:rsidRPr="00000000">
        <w:rPr>
          <w:rtl w:val="0"/>
        </w:rPr>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Monto total o especificación del recurso público otorgado</w:t>
      </w:r>
      <w:r w:rsidDel="00000000" w:rsidR="00000000" w:rsidRPr="00000000">
        <w:rPr>
          <w:rtl w:val="0"/>
        </w:rPr>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Periodicidad de entrega</w:t>
      </w:r>
      <w:r w:rsidDel="00000000" w:rsidR="00000000" w:rsidRPr="00000000">
        <w:rPr>
          <w:rtl w:val="0"/>
        </w:rPr>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Fundamento jurídico de la entrega</w:t>
      </w:r>
      <w:r w:rsidDel="00000000" w:rsidR="00000000" w:rsidRPr="00000000">
        <w:rPr>
          <w:rtl w:val="0"/>
        </w:rPr>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En lo relativo a las personas físicas o morales que ejerzan actos de autoridad, además de los rubros anteriores deberá contener los siguientes datos:</w:t>
      </w:r>
      <w:r w:rsidDel="00000000" w:rsidR="00000000" w:rsidRPr="00000000">
        <w:rPr>
          <w:rtl w:val="0"/>
        </w:rPr>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Ejercicio para el que se facultó a la persona física o moral ejercer actos de autoridad</w:t>
      </w:r>
      <w:r w:rsidDel="00000000" w:rsidR="00000000" w:rsidRPr="00000000">
        <w:rPr>
          <w:rtl w:val="0"/>
        </w:rPr>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Fecha en que se facultó a la persona física o moral para realizar actos de autoridad</w:t>
      </w:r>
      <w:r w:rsidDel="00000000" w:rsidR="00000000" w:rsidRPr="00000000">
        <w:rPr>
          <w:rtl w:val="0"/>
        </w:rPr>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Acto (s) de autoridad para los que se facultó a la persona física o moral</w:t>
      </w:r>
      <w:r w:rsidDel="00000000" w:rsidR="00000000" w:rsidRPr="00000000">
        <w:rPr>
          <w:rtl w:val="0"/>
        </w:rPr>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Modalidad del otorgamiento de facultades para realizar actos de autoridad: permiso, concesión, nombramiento, entre otros.</w:t>
      </w:r>
      <w:r w:rsidDel="00000000" w:rsidR="00000000" w:rsidRPr="00000000">
        <w:rPr>
          <w:rtl w:val="0"/>
        </w:rPr>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Fundamento jurídico </w:t>
      </w:r>
      <w:r w:rsidDel="00000000" w:rsidR="00000000" w:rsidRPr="00000000">
        <w:rPr>
          <w:rtl w:val="0"/>
        </w:rPr>
      </w:r>
    </w:p>
    <w:p w:rsidR="00000000" w:rsidDel="00000000" w:rsidP="00000000" w:rsidRDefault="00000000" w:rsidRPr="00000000" w14:paraId="00000025">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6">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atención a lo anterior, el día 8 de febrero de 2023 la Dirección General, comenzó con la revisión y análisis de la información remitida por los Sujetos Obligados, tomando en consideración lo siguiente:</w:t>
      </w:r>
    </w:p>
    <w:p w:rsidR="00000000" w:rsidDel="00000000" w:rsidP="00000000" w:rsidRDefault="00000000" w:rsidRPr="00000000" w14:paraId="00000027">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Si realiza una función gubernamental</w:t>
      </w:r>
      <w:r w:rsidDel="00000000" w:rsidR="00000000" w:rsidRPr="00000000">
        <w:rPr>
          <w:rFonts w:ascii="Palatino Linotype" w:cs="Palatino Linotype" w:eastAsia="Palatino Linotype" w:hAnsi="Palatino Linotype"/>
          <w:rtl w:val="0"/>
        </w:rPr>
        <w:t xml:space="preserve">;</w:t>
      </w:r>
      <w:r w:rsidDel="00000000" w:rsidR="00000000" w:rsidRPr="00000000">
        <w:rPr>
          <w:rtl w:val="0"/>
        </w:rPr>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Nivel de financiamiento público</w:t>
      </w:r>
      <w:r w:rsidDel="00000000" w:rsidR="00000000" w:rsidRPr="00000000">
        <w:rPr>
          <w:rFonts w:ascii="Palatino Linotype" w:cs="Palatino Linotype" w:eastAsia="Palatino Linotype" w:hAnsi="Palatino Linotype"/>
          <w:rtl w:val="0"/>
        </w:rPr>
        <w:t xml:space="preserve">;</w:t>
      </w:r>
      <w:r w:rsidDel="00000000" w:rsidR="00000000" w:rsidRPr="00000000">
        <w:rPr>
          <w:rtl w:val="0"/>
        </w:rPr>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Nivel de regulación e involucramiento gubernamental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color w:val="000000"/>
          <w:rtl w:val="0"/>
        </w:rPr>
        <w:t xml:space="preserve">y</w:t>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pacing w:after="0" w:line="276" w:lineRule="auto"/>
        <w:ind w:left="927" w:right="567"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Si el gobierno participó en su creación.</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Atento a lo anterior, respecto de</w:t>
      </w:r>
      <w:r w:rsidDel="00000000" w:rsidR="00000000" w:rsidRPr="00000000">
        <w:rPr>
          <w:rFonts w:ascii="Palatino Linotype" w:cs="Palatino Linotype" w:eastAsia="Palatino Linotype" w:hAnsi="Palatino Linotype"/>
          <w:color w:val="000000"/>
          <w:rtl w:val="0"/>
        </w:rPr>
        <w:t xml:space="preserve"> la información proporcionada por los </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color w:val="000000"/>
          <w:rtl w:val="0"/>
        </w:rPr>
        <w:t xml:space="preserve">ujetos </w:t>
      </w:r>
      <w:r w:rsidDel="00000000" w:rsidR="00000000" w:rsidRPr="00000000">
        <w:rPr>
          <w:rFonts w:ascii="Palatino Linotype" w:cs="Palatino Linotype" w:eastAsia="Palatino Linotype" w:hAnsi="Palatino Linotype"/>
          <w:rtl w:val="0"/>
        </w:rPr>
        <w:t xml:space="preserve">O</w:t>
      </w:r>
      <w:r w:rsidDel="00000000" w:rsidR="00000000" w:rsidRPr="00000000">
        <w:rPr>
          <w:rFonts w:ascii="Palatino Linotype" w:cs="Palatino Linotype" w:eastAsia="Palatino Linotype" w:hAnsi="Palatino Linotype"/>
          <w:color w:val="000000"/>
          <w:rtl w:val="0"/>
        </w:rPr>
        <w:t xml:space="preserve">bligados </w:t>
      </w:r>
      <w:r w:rsidDel="00000000" w:rsidR="00000000" w:rsidRPr="00000000">
        <w:rPr>
          <w:rFonts w:ascii="Palatino Linotype" w:cs="Palatino Linotype" w:eastAsia="Palatino Linotype" w:hAnsi="Palatino Linotype"/>
          <w:rtl w:val="0"/>
        </w:rPr>
        <w:t xml:space="preserve">referente al listado de a quiénes se </w:t>
      </w:r>
      <w:r w:rsidDel="00000000" w:rsidR="00000000" w:rsidRPr="00000000">
        <w:rPr>
          <w:rFonts w:ascii="Palatino Linotype" w:cs="Palatino Linotype" w:eastAsia="Palatino Linotype" w:hAnsi="Palatino Linotype"/>
          <w:color w:val="000000"/>
          <w:rtl w:val="0"/>
        </w:rPr>
        <w:t xml:space="preserve">otorgan recursos públicos o</w:t>
      </w:r>
      <w:r w:rsidDel="00000000" w:rsidR="00000000" w:rsidRPr="00000000">
        <w:rPr>
          <w:rFonts w:ascii="Palatino Linotype" w:cs="Palatino Linotype" w:eastAsia="Palatino Linotype" w:hAnsi="Palatino Linotype"/>
          <w:rtl w:val="0"/>
        </w:rPr>
        <w:t xml:space="preserve"> realizan</w:t>
      </w:r>
      <w:r w:rsidDel="00000000" w:rsidR="00000000" w:rsidRPr="00000000">
        <w:rPr>
          <w:rFonts w:ascii="Palatino Linotype" w:cs="Palatino Linotype" w:eastAsia="Palatino Linotype" w:hAnsi="Palatino Linotype"/>
          <w:color w:val="000000"/>
          <w:rtl w:val="0"/>
        </w:rPr>
        <w:t xml:space="preserve"> actos de autoridad correspondiente al ejercicio 202</w:t>
      </w:r>
      <w:r w:rsidDel="00000000" w:rsidR="00000000" w:rsidRPr="00000000">
        <w:rPr>
          <w:rFonts w:ascii="Palatino Linotype" w:cs="Palatino Linotype" w:eastAsia="Palatino Linotype" w:hAnsi="Palatino Linotype"/>
          <w:rtl w:val="0"/>
        </w:rPr>
        <w:t xml:space="preserve">3; </w:t>
      </w:r>
      <w:r w:rsidDel="00000000" w:rsidR="00000000" w:rsidRPr="00000000">
        <w:rPr>
          <w:rFonts w:ascii="Palatino Linotype" w:cs="Palatino Linotype" w:eastAsia="Palatino Linotype" w:hAnsi="Palatino Linotype"/>
          <w:color w:val="000000"/>
          <w:rtl w:val="0"/>
        </w:rPr>
        <w:t xml:space="preserve">la Dirección General, </w:t>
      </w:r>
      <w:r w:rsidDel="00000000" w:rsidR="00000000" w:rsidRPr="00000000">
        <w:rPr>
          <w:rFonts w:ascii="Palatino Linotype" w:cs="Palatino Linotype" w:eastAsia="Palatino Linotype" w:hAnsi="Palatino Linotype"/>
          <w:rtl w:val="0"/>
        </w:rPr>
        <w:t xml:space="preserve">verificó que</w:t>
      </w:r>
      <w:r w:rsidDel="00000000" w:rsidR="00000000" w:rsidRPr="00000000">
        <w:rPr>
          <w:rFonts w:ascii="Palatino Linotype" w:cs="Palatino Linotype" w:eastAsia="Palatino Linotype" w:hAnsi="Palatino Linotype"/>
          <w:color w:val="000000"/>
          <w:rtl w:val="0"/>
        </w:rPr>
        <w:t xml:space="preserve"> la información </w:t>
      </w:r>
      <w:r w:rsidDel="00000000" w:rsidR="00000000" w:rsidRPr="00000000">
        <w:rPr>
          <w:rFonts w:ascii="Palatino Linotype" w:cs="Palatino Linotype" w:eastAsia="Palatino Linotype" w:hAnsi="Palatino Linotype"/>
          <w:rtl w:val="0"/>
        </w:rPr>
        <w:t xml:space="preserve">remitida se adecuara </w:t>
      </w:r>
      <w:r w:rsidDel="00000000" w:rsidR="00000000" w:rsidRPr="00000000">
        <w:rPr>
          <w:rFonts w:ascii="Palatino Linotype" w:cs="Palatino Linotype" w:eastAsia="Palatino Linotype" w:hAnsi="Palatino Linotype"/>
          <w:color w:val="000000"/>
          <w:rtl w:val="0"/>
        </w:rPr>
        <w:t xml:space="preserve">a las hipótesis normativas previstas en los numerales Sexto, Séptimo, Octavo y Noveno de los Lineamientos Generales </w:t>
      </w:r>
      <w:r w:rsidDel="00000000" w:rsidR="00000000" w:rsidRPr="00000000">
        <w:rPr>
          <w:rFonts w:ascii="Palatino Linotype" w:cs="Palatino Linotype" w:eastAsia="Palatino Linotype" w:hAnsi="Palatino Linotype"/>
          <w:rtl w:val="0"/>
        </w:rPr>
        <w:t xml:space="preserve">que establecen los Criterios para el cumplimiento de las obligaciones de transparencia y acceso a la información a cargo de las personas físicas y morales que reciben y ejercen recursos públicos o realicen actos de autoridad.</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F">
      <w:pPr>
        <w:spacing w:after="0" w:line="276" w:lineRule="auto"/>
        <w:ind w:left="1"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relación con el numeral Sexto de los</w:t>
      </w:r>
      <w:r w:rsidDel="00000000" w:rsidR="00000000" w:rsidRPr="00000000">
        <w:rPr>
          <w:rFonts w:ascii="Palatino Linotype" w:cs="Palatino Linotype" w:eastAsia="Palatino Linotype" w:hAnsi="Palatino Linotype"/>
          <w:rtl w:val="0"/>
        </w:rPr>
        <w:t xml:space="preserve"> Lineamientos Generales que establecen los criterios para el cumplimiento de las obligaciones de Transparencia y Acceso a la Información a cargo de las personas físicas y morales que reciben y ejercen recursos públicos o realicen actos de autoridad,</w:t>
      </w:r>
      <w:r w:rsidDel="00000000" w:rsidR="00000000" w:rsidRPr="00000000">
        <w:rPr>
          <w:rFonts w:ascii="Palatino Linotype" w:cs="Palatino Linotype" w:eastAsia="Palatino Linotype" w:hAnsi="Palatino Linotype"/>
          <w:color w:val="000000"/>
          <w:rtl w:val="0"/>
        </w:rPr>
        <w:t xml:space="preserve"> se advierte que las personas físicas o jurídico colectivas que se adecuen a cualquiera de las hipótesis ahí descritas, deberán cumplir con sus obligaciones de transparencia, a través del </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color w:val="000000"/>
          <w:rtl w:val="0"/>
        </w:rPr>
        <w:t xml:space="preserve">ujeto </w:t>
      </w:r>
      <w:r w:rsidDel="00000000" w:rsidR="00000000" w:rsidRPr="00000000">
        <w:rPr>
          <w:rFonts w:ascii="Palatino Linotype" w:cs="Palatino Linotype" w:eastAsia="Palatino Linotype" w:hAnsi="Palatino Linotype"/>
          <w:rtl w:val="0"/>
        </w:rPr>
        <w:t xml:space="preserve">O</w:t>
      </w:r>
      <w:r w:rsidDel="00000000" w:rsidR="00000000" w:rsidRPr="00000000">
        <w:rPr>
          <w:rFonts w:ascii="Palatino Linotype" w:cs="Palatino Linotype" w:eastAsia="Palatino Linotype" w:hAnsi="Palatino Linotype"/>
          <w:color w:val="000000"/>
          <w:rtl w:val="0"/>
        </w:rPr>
        <w:t xml:space="preserve">bligado que les otorgó el recurso público o les encomendó el acto de autoridad</w:t>
      </w:r>
      <w:r w:rsidDel="00000000" w:rsidR="00000000" w:rsidRPr="00000000">
        <w:rPr>
          <w:rFonts w:ascii="Palatino Linotype" w:cs="Palatino Linotype" w:eastAsia="Palatino Linotype" w:hAnsi="Palatino Linotype"/>
          <w:rtl w:val="0"/>
        </w:rPr>
        <w:t xml:space="preserve">; en ese sentido, y derivado del requerimiento en la materia efectuado el 23 de enero de la presente anualidad la Dirección General en comento efectuó lo siguiente</w:t>
      </w:r>
      <w:r w:rsidDel="00000000" w:rsidR="00000000" w:rsidRPr="00000000">
        <w:rPr>
          <w:rFonts w:ascii="Palatino Linotype" w:cs="Palatino Linotype" w:eastAsia="Palatino Linotype" w:hAnsi="Palatino Linotype"/>
          <w:color w:val="000000"/>
          <w:rtl w:val="0"/>
        </w:rPr>
        <w:t xml:space="preserve">:</w:t>
      </w:r>
    </w:p>
    <w:p w:rsidR="00000000" w:rsidDel="00000000" w:rsidP="00000000" w:rsidRDefault="00000000" w:rsidRPr="00000000" w14:paraId="00000030">
      <w:pPr>
        <w:spacing w:after="0" w:line="276" w:lineRule="auto"/>
        <w:ind w:left="361"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1">
      <w:pPr>
        <w:numPr>
          <w:ilvl w:val="0"/>
          <w:numId w:val="5"/>
        </w:numPr>
        <w:spacing w:after="0" w:line="276" w:lineRule="auto"/>
        <w:ind w:left="720" w:hanging="371"/>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Análisis detallado de l</w:t>
      </w:r>
      <w:r w:rsidDel="00000000" w:rsidR="00000000" w:rsidRPr="00000000">
        <w:rPr>
          <w:rFonts w:ascii="Palatino Linotype" w:cs="Palatino Linotype" w:eastAsia="Palatino Linotype" w:hAnsi="Palatino Linotype"/>
          <w:color w:val="000000"/>
          <w:rtl w:val="0"/>
        </w:rPr>
        <w:t xml:space="preserve">a información remitida por los </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color w:val="000000"/>
          <w:rtl w:val="0"/>
        </w:rPr>
        <w:t xml:space="preserve">ujetos </w:t>
      </w:r>
      <w:r w:rsidDel="00000000" w:rsidR="00000000" w:rsidRPr="00000000">
        <w:rPr>
          <w:rFonts w:ascii="Palatino Linotype" w:cs="Palatino Linotype" w:eastAsia="Palatino Linotype" w:hAnsi="Palatino Linotype"/>
          <w:rtl w:val="0"/>
        </w:rPr>
        <w:t xml:space="preserve">O</w:t>
      </w:r>
      <w:r w:rsidDel="00000000" w:rsidR="00000000" w:rsidRPr="00000000">
        <w:rPr>
          <w:rFonts w:ascii="Palatino Linotype" w:cs="Palatino Linotype" w:eastAsia="Palatino Linotype" w:hAnsi="Palatino Linotype"/>
          <w:color w:val="000000"/>
          <w:rtl w:val="0"/>
        </w:rPr>
        <w:t xml:space="preserve">bligados, a efecto de determinar si las personas físicas o jurídico colectivas, cumplen con mecanismos de rendición de cuentas instrumentados por la institución que otorgó el recurso público.</w:t>
      </w:r>
    </w:p>
    <w:p w:rsidR="00000000" w:rsidDel="00000000" w:rsidP="00000000" w:rsidRDefault="00000000" w:rsidRPr="00000000" w14:paraId="00000032">
      <w:pPr>
        <w:numPr>
          <w:ilvl w:val="0"/>
          <w:numId w:val="5"/>
        </w:numPr>
        <w:spacing w:after="0" w:before="200" w:line="276" w:lineRule="auto"/>
        <w:ind w:left="720" w:hanging="371"/>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Revisión d</w:t>
      </w:r>
      <w:r w:rsidDel="00000000" w:rsidR="00000000" w:rsidRPr="00000000">
        <w:rPr>
          <w:rFonts w:ascii="Palatino Linotype" w:cs="Palatino Linotype" w:eastAsia="Palatino Linotype" w:hAnsi="Palatino Linotype"/>
          <w:color w:val="000000"/>
          <w:rtl w:val="0"/>
        </w:rPr>
        <w:t xml:space="preserve">el monto de financiamiento público otorgado a las personas físicas o jurídico colectivas, a efecto de identificar a aquellas que se adecuan a la hipótesis prevista en la fracción II del numeral </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color w:val="000000"/>
          <w:rtl w:val="0"/>
        </w:rPr>
        <w:t xml:space="preserve">exto de los</w:t>
      </w:r>
      <w:r w:rsidDel="00000000" w:rsidR="00000000" w:rsidRPr="00000000">
        <w:rPr>
          <w:rFonts w:ascii="Palatino Linotype" w:cs="Palatino Linotype" w:eastAsia="Palatino Linotype" w:hAnsi="Palatino Linotype"/>
          <w:rtl w:val="0"/>
        </w:rPr>
        <w:t xml:space="preserve"> Lineamientos Generales que establecen los criterios para el cumplimiento de las obligaciones de transparencia y acceso a la información a cargo de las personas físicas y morales que reciben y ejercen recursos públicos o realicen actos de autoridad.</w:t>
      </w:r>
      <w:r w:rsidDel="00000000" w:rsidR="00000000" w:rsidRPr="00000000">
        <w:rPr>
          <w:rtl w:val="0"/>
        </w:rPr>
      </w:r>
    </w:p>
    <w:p w:rsidR="00000000" w:rsidDel="00000000" w:rsidP="00000000" w:rsidRDefault="00000000" w:rsidRPr="00000000" w14:paraId="00000033">
      <w:pPr>
        <w:numPr>
          <w:ilvl w:val="0"/>
          <w:numId w:val="5"/>
        </w:numPr>
        <w:spacing w:after="0" w:before="200" w:line="276" w:lineRule="auto"/>
        <w:ind w:left="720" w:hanging="371"/>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Se verificó si las personas físicas o jurídicas colectivas que recibieron recursos públicos, se encuentran sujetas a una norma jurídica que les establezca la obligación de rendir cuentas respecto de los recursos recibidos.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5">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así que, del registro de la información remitida por los Sujetos Obligados, se resume en lo siguiente:</w:t>
      </w:r>
    </w:p>
    <w:p w:rsidR="00000000" w:rsidDel="00000000" w:rsidP="00000000" w:rsidRDefault="00000000" w:rsidRPr="00000000" w14:paraId="00000036">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vertAlign w:val="baseline"/>
        </w:rPr>
      </w:pPr>
      <w:r w:rsidDel="00000000" w:rsidR="00000000" w:rsidRPr="00000000">
        <w:rPr>
          <w:rFonts w:ascii="Palatino Linotype" w:cs="Palatino Linotype" w:eastAsia="Palatino Linotype" w:hAnsi="Palatino Linotype"/>
          <w:b w:val="1"/>
          <w:rtl w:val="0"/>
        </w:rPr>
        <w:t xml:space="preserve">88</w:t>
      </w:r>
      <w:r w:rsidDel="00000000" w:rsidR="00000000" w:rsidRPr="00000000">
        <w:rPr>
          <w:rFonts w:ascii="Palatino Linotype" w:cs="Palatino Linotype" w:eastAsia="Palatino Linotype" w:hAnsi="Palatino Linotype"/>
          <w:b w:val="1"/>
          <w:i w:val="0"/>
          <w:smallCaps w:val="0"/>
          <w:strike w:val="0"/>
          <w:color w:val="000000"/>
          <w:sz w:val="22"/>
          <w:szCs w:val="22"/>
          <w:u w:val="none"/>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vertAlign w:val="baseline"/>
          <w:rtl w:val="0"/>
        </w:rPr>
        <w:t xml:space="preserve">Sujetos Obligados fueron omisos al requerimiento de su listado de personas físicas o jurídicas colectivas que reciben y ejercen recursos públicos o realicen actos de autoridad. (Anexo 2)</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vertAlign w:val="baseline"/>
          <w:rtl w:val="0"/>
        </w:rPr>
        <w:t xml:space="preserve">2</w:t>
      </w:r>
      <w:r w:rsidDel="00000000" w:rsidR="00000000" w:rsidRPr="00000000">
        <w:rPr>
          <w:rFonts w:ascii="Palatino Linotype" w:cs="Palatino Linotype" w:eastAsia="Palatino Linotype" w:hAnsi="Palatino Linotype"/>
          <w:b w:val="1"/>
          <w:rtl w:val="0"/>
        </w:rPr>
        <w:t xml:space="preserve">44</w:t>
      </w:r>
      <w:r w:rsidDel="00000000" w:rsidR="00000000" w:rsidRPr="00000000">
        <w:rPr>
          <w:rFonts w:ascii="Palatino Linotype" w:cs="Palatino Linotype" w:eastAsia="Palatino Linotype" w:hAnsi="Palatino Linotype"/>
          <w:b w:val="1"/>
          <w:i w:val="0"/>
          <w:smallCaps w:val="0"/>
          <w:strike w:val="0"/>
          <w:color w:val="000000"/>
          <w:sz w:val="22"/>
          <w:szCs w:val="22"/>
          <w:u w:val="none"/>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vertAlign w:val="baseline"/>
          <w:rtl w:val="0"/>
        </w:rPr>
        <w:t xml:space="preserve">Sujetos Obligados atendieron el requerimiento. (Anexo 1)</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bookmarkStart w:colFirst="0" w:colLast="0" w:name="_heading=h.1fob9te" w:id="1"/>
      <w:bookmarkEnd w:id="1"/>
      <w:r w:rsidDel="00000000" w:rsidR="00000000" w:rsidRPr="00000000">
        <w:rPr>
          <w:rFonts w:ascii="Palatino Linotype" w:cs="Palatino Linotype" w:eastAsia="Palatino Linotype" w:hAnsi="Palatino Linotype"/>
          <w:rtl w:val="0"/>
        </w:rPr>
        <w:t xml:space="preserve">Por consiguiente se desprenden los siguientes datos: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vertAlign w:val="baseline"/>
          <w:rtl w:val="0"/>
        </w:rPr>
        <w:t xml:space="preserve">2</w:t>
      </w:r>
      <w:r w:rsidDel="00000000" w:rsidR="00000000" w:rsidRPr="00000000">
        <w:rPr>
          <w:rFonts w:ascii="Palatino Linotype" w:cs="Palatino Linotype" w:eastAsia="Palatino Linotype" w:hAnsi="Palatino Linotype"/>
          <w:b w:val="1"/>
          <w:rtl w:val="0"/>
        </w:rPr>
        <w:t xml:space="preserve">29</w:t>
      </w:r>
      <w:r w:rsidDel="00000000" w:rsidR="00000000" w:rsidRPr="00000000">
        <w:rPr>
          <w:rFonts w:ascii="Palatino Linotype" w:cs="Palatino Linotype" w:eastAsia="Palatino Linotype" w:hAnsi="Palatino Linotype"/>
          <w:b w:val="0"/>
          <w:i w:val="0"/>
          <w:smallCaps w:val="0"/>
          <w:strike w:val="0"/>
          <w:color w:val="000000"/>
          <w:sz w:val="22"/>
          <w:szCs w:val="22"/>
          <w:u w:val="none"/>
          <w:vertAlign w:val="baseline"/>
          <w:rtl w:val="0"/>
        </w:rPr>
        <w:t xml:space="preserve"> Sujetos Obligados, señalaron no asignar recursos públicos. (Anexo 1)</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Palatino Linotype" w:cs="Palatino Linotype" w:eastAsia="Palatino Linotype" w:hAnsi="Palatino Linotyp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vertAlign w:val="baseline"/>
          <w:rtl w:val="0"/>
        </w:rPr>
        <w:t xml:space="preserve">1</w:t>
      </w:r>
      <w:r w:rsidDel="00000000" w:rsidR="00000000" w:rsidRPr="00000000">
        <w:rPr>
          <w:rFonts w:ascii="Palatino Linotype" w:cs="Palatino Linotype" w:eastAsia="Palatino Linotype" w:hAnsi="Palatino Linotype"/>
          <w:b w:val="1"/>
          <w:rtl w:val="0"/>
        </w:rPr>
        <w:t xml:space="preserve">5</w:t>
      </w:r>
      <w:r w:rsidDel="00000000" w:rsidR="00000000" w:rsidRPr="00000000">
        <w:rPr>
          <w:rFonts w:ascii="Palatino Linotype" w:cs="Palatino Linotype" w:eastAsia="Palatino Linotype" w:hAnsi="Palatino Linotype"/>
          <w:b w:val="0"/>
          <w:i w:val="0"/>
          <w:smallCaps w:val="0"/>
          <w:strike w:val="0"/>
          <w:color w:val="000000"/>
          <w:sz w:val="22"/>
          <w:szCs w:val="22"/>
          <w:u w:val="none"/>
          <w:vertAlign w:val="baseline"/>
          <w:rtl w:val="0"/>
        </w:rPr>
        <w:t xml:space="preserve"> Sujetos Obligados, señalaron que asignan recursos públicos, mismos que fueron descartados de conformidad con las variables establecidas en la normatividad aplicable. (Anexo 1)</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76" w:lineRule="auto"/>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De los </w:t>
      </w:r>
      <w:r w:rsidDel="00000000" w:rsidR="00000000" w:rsidRPr="00000000">
        <w:rPr>
          <w:rFonts w:ascii="Palatino Linotype" w:cs="Palatino Linotype" w:eastAsia="Palatino Linotype" w:hAnsi="Palatino Linotype"/>
          <w:rtl w:val="0"/>
        </w:rPr>
        <w:t xml:space="preserve">10</w:t>
      </w:r>
      <w:r w:rsidDel="00000000" w:rsidR="00000000" w:rsidRPr="00000000">
        <w:rPr>
          <w:rFonts w:ascii="Palatino Linotype" w:cs="Palatino Linotype" w:eastAsia="Palatino Linotype" w:hAnsi="Palatino Linotype"/>
          <w:color w:val="000000"/>
          <w:rtl w:val="0"/>
        </w:rPr>
        <w:t xml:space="preserve"> Sujetos Obligados </w:t>
      </w:r>
      <w:r w:rsidDel="00000000" w:rsidR="00000000" w:rsidRPr="00000000">
        <w:rPr>
          <w:rFonts w:ascii="Palatino Linotype" w:cs="Palatino Linotype" w:eastAsia="Palatino Linotype" w:hAnsi="Palatino Linotype"/>
          <w:rtl w:val="0"/>
        </w:rPr>
        <w:t xml:space="preserve">señalados como descartados con antelación, se realizó un análisis de la información proporcionada, en la que se concluye que no cumplen con </w:t>
      </w:r>
      <w:r w:rsidDel="00000000" w:rsidR="00000000" w:rsidRPr="00000000">
        <w:rPr>
          <w:rFonts w:ascii="Palatino Linotype" w:cs="Palatino Linotype" w:eastAsia="Palatino Linotype" w:hAnsi="Palatino Linotype"/>
          <w:color w:val="000000"/>
          <w:rtl w:val="0"/>
        </w:rPr>
        <w:t xml:space="preserve">las hipótesis previstas en el </w:t>
      </w:r>
      <w:r w:rsidDel="00000000" w:rsidR="00000000" w:rsidRPr="00000000">
        <w:rPr>
          <w:rFonts w:ascii="Palatino Linotype" w:cs="Palatino Linotype" w:eastAsia="Palatino Linotype" w:hAnsi="Palatino Linotype"/>
          <w:rtl w:val="0"/>
        </w:rPr>
        <w:t xml:space="preserve">a</w:t>
      </w:r>
      <w:r w:rsidDel="00000000" w:rsidR="00000000" w:rsidRPr="00000000">
        <w:rPr>
          <w:rFonts w:ascii="Palatino Linotype" w:cs="Palatino Linotype" w:eastAsia="Palatino Linotype" w:hAnsi="Palatino Linotype"/>
          <w:color w:val="000000"/>
          <w:rtl w:val="0"/>
        </w:rPr>
        <w:t xml:space="preserve">rtículo 104 de </w:t>
      </w:r>
      <w:r w:rsidDel="00000000" w:rsidR="00000000" w:rsidRPr="00000000">
        <w:rPr>
          <w:rFonts w:ascii="Palatino Linotype" w:cs="Palatino Linotype" w:eastAsia="Palatino Linotype" w:hAnsi="Palatino Linotype"/>
          <w:rtl w:val="0"/>
        </w:rPr>
        <w:t xml:space="preserve">la Ley</w:t>
      </w:r>
      <w:r w:rsidDel="00000000" w:rsidR="00000000" w:rsidRPr="00000000">
        <w:rPr>
          <w:rFonts w:ascii="Palatino Linotype" w:cs="Palatino Linotype" w:eastAsia="Palatino Linotype" w:hAnsi="Palatino Linotype"/>
          <w:color w:val="000000"/>
          <w:rtl w:val="0"/>
        </w:rPr>
        <w:t xml:space="preserve"> de Tr</w:t>
      </w:r>
      <w:r w:rsidDel="00000000" w:rsidR="00000000" w:rsidRPr="00000000">
        <w:rPr>
          <w:rFonts w:ascii="Palatino Linotype" w:cs="Palatino Linotype" w:eastAsia="Palatino Linotype" w:hAnsi="Palatino Linotype"/>
          <w:rtl w:val="0"/>
        </w:rPr>
        <w:t xml:space="preserve">ansparencia L</w:t>
      </w:r>
      <w:r w:rsidDel="00000000" w:rsidR="00000000" w:rsidRPr="00000000">
        <w:rPr>
          <w:rFonts w:ascii="Palatino Linotype" w:cs="Palatino Linotype" w:eastAsia="Palatino Linotype" w:hAnsi="Palatino Linotype"/>
          <w:color w:val="000000"/>
          <w:rtl w:val="0"/>
        </w:rPr>
        <w:t xml:space="preserve">ocal y el </w:t>
      </w:r>
      <w:r w:rsidDel="00000000" w:rsidR="00000000" w:rsidRPr="00000000">
        <w:rPr>
          <w:rFonts w:ascii="Palatino Linotype" w:cs="Palatino Linotype" w:eastAsia="Palatino Linotype" w:hAnsi="Palatino Linotype"/>
          <w:rtl w:val="0"/>
        </w:rPr>
        <w:t xml:space="preserve">a</w:t>
      </w:r>
      <w:r w:rsidDel="00000000" w:rsidR="00000000" w:rsidRPr="00000000">
        <w:rPr>
          <w:rFonts w:ascii="Palatino Linotype" w:cs="Palatino Linotype" w:eastAsia="Palatino Linotype" w:hAnsi="Palatino Linotype"/>
          <w:color w:val="000000"/>
          <w:rtl w:val="0"/>
        </w:rPr>
        <w:t xml:space="preserve">rtículo 81 de la Ley General de Trans</w:t>
      </w:r>
      <w:r w:rsidDel="00000000" w:rsidR="00000000" w:rsidRPr="00000000">
        <w:rPr>
          <w:rFonts w:ascii="Palatino Linotype" w:cs="Palatino Linotype" w:eastAsia="Palatino Linotype" w:hAnsi="Palatino Linotype"/>
          <w:rtl w:val="0"/>
        </w:rPr>
        <w:t xml:space="preserve">parencia </w:t>
      </w:r>
      <w:r w:rsidDel="00000000" w:rsidR="00000000" w:rsidRPr="00000000">
        <w:rPr>
          <w:rFonts w:ascii="Palatino Linotype" w:cs="Palatino Linotype" w:eastAsia="Palatino Linotype" w:hAnsi="Palatino Linotype"/>
          <w:color w:val="000000"/>
          <w:rtl w:val="0"/>
        </w:rPr>
        <w:t xml:space="preserve">y </w:t>
      </w:r>
      <w:r w:rsidDel="00000000" w:rsidR="00000000" w:rsidRPr="00000000">
        <w:rPr>
          <w:rFonts w:ascii="Palatino Linotype" w:cs="Palatino Linotype" w:eastAsia="Palatino Linotype" w:hAnsi="Palatino Linotype"/>
          <w:rtl w:val="0"/>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en términos de lo siguiente: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i w:val="0"/>
          <w:smallCaps w:val="0"/>
          <w:strike w:val="0"/>
          <w:color w:val="000000"/>
          <w:sz w:val="22"/>
          <w:szCs w:val="22"/>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La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Secretaría del Medio Ambiente</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señaló un premio como resultado de un concurso, sin embargo, la información financiera que se deriva es sobre el presupuesto asignado, por lo que, en observancia al contenido del artículo 92, fracción XXV de la Ley de Transparencia Local señala que: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rtl w:val="0"/>
        </w:rPr>
        <w:t xml:space="preserve">Artículo 92.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XXV.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La información financiera sobre el presupuesto asignado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así como los informes del ejercicio trimestral del gasto, en términos de la Ley General de Contabilidad Gubernamental y demás disposiciones jurídicas aplicables; (Sic)</w:t>
      </w:r>
    </w:p>
    <w:p w:rsidR="00000000" w:rsidDel="00000000" w:rsidP="00000000" w:rsidRDefault="00000000" w:rsidRPr="00000000" w14:paraId="00000047">
      <w:pPr>
        <w:spacing w:line="276" w:lineRule="auto"/>
        <w:ind w:left="720"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[Énfasis añadido]</w:t>
      </w:r>
      <w:r w:rsidDel="00000000" w:rsidR="00000000" w:rsidRPr="00000000">
        <w:rPr>
          <w:rtl w:val="0"/>
        </w:rPr>
      </w:r>
    </w:p>
    <w:p w:rsidR="00000000" w:rsidDel="00000000" w:rsidP="00000000" w:rsidRDefault="00000000" w:rsidRPr="00000000" w14:paraId="00000048">
      <w:pPr>
        <w:spacing w:after="0" w:line="276" w:lineRule="auto"/>
        <w:ind w:left="720" w:right="333"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9">
      <w:pPr>
        <w:spacing w:after="0" w:line="276" w:lineRule="auto"/>
        <w:ind w:left="360" w:firstLine="0"/>
        <w:jc w:val="both"/>
        <w:rPr>
          <w:rFonts w:ascii="Palatino Linotype" w:cs="Palatino Linotype" w:eastAsia="Palatino Linotype" w:hAnsi="Palatino Linotype"/>
          <w:u w:val="single"/>
        </w:rPr>
      </w:pPr>
      <w:r w:rsidDel="00000000" w:rsidR="00000000" w:rsidRPr="00000000">
        <w:rPr>
          <w:rFonts w:ascii="Palatino Linotype" w:cs="Palatino Linotype" w:eastAsia="Palatino Linotype" w:hAnsi="Palatino Linotype"/>
          <w:rtl w:val="0"/>
        </w:rPr>
        <w:t xml:space="preserve">En razón de lo anterior, no pueden ser considerados en este supuesto, toda vez que esta información se encuentra contemplada como una obligación común de transparencia y que es reportada a través de su portal de Ipomex.</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i w:val="0"/>
          <w:smallCaps w:val="0"/>
          <w:strike w:val="0"/>
          <w:color w:val="000000"/>
          <w:sz w:val="22"/>
          <w:szCs w:val="22"/>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El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Instituto Mexiquense de la Pirotécni</w:t>
      </w:r>
      <w:r w:rsidDel="00000000" w:rsidR="00000000" w:rsidRPr="00000000">
        <w:rPr>
          <w:rFonts w:ascii="Palatino Linotype" w:cs="Palatino Linotype" w:eastAsia="Palatino Linotype" w:hAnsi="Palatino Linotype"/>
          <w:b w:val="1"/>
          <w:rtl w:val="0"/>
        </w:rPr>
        <w:t xml:space="preserve">a</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señaló haber otorgado recurso público a un particular </w:t>
      </w:r>
      <w:r w:rsidDel="00000000" w:rsidR="00000000" w:rsidRPr="00000000">
        <w:rPr>
          <w:rFonts w:ascii="Palatino Linotype" w:cs="Palatino Linotype" w:eastAsia="Palatino Linotype" w:hAnsi="Palatino Linotype"/>
          <w:b w:val="0"/>
          <w:i w:val="0"/>
          <w:smallCaps w:val="0"/>
          <w:strike w:val="0"/>
          <w:color w:val="000000"/>
          <w:sz w:val="22"/>
          <w:szCs w:val="22"/>
          <w:highlight w:val="white"/>
          <w:u w:val="none"/>
          <w:vertAlign w:val="baseline"/>
          <w:rtl w:val="0"/>
        </w:rPr>
        <w:t xml:space="preserve">bajo el concepto de solventar las actividades de primera necesidad del Instituto, sin embargo es preciso señalar lo</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previsto en el artículo 92, fracción XXIX, inciso b) relativo a las adjudicaciones directas de la Ley de Transparencia Local que es de la literalidad siguiente: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rtl w:val="0"/>
        </w:rPr>
        <w:t xml:space="preserve">Artículo 92.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XXIX…</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 b). De las adjudicaciones directas: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(Sic)</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[Énfasis añadido]</w:t>
      </w:r>
      <w:r w:rsidDel="00000000" w:rsidR="00000000" w:rsidRPr="00000000">
        <w:rPr>
          <w:rtl w:val="0"/>
        </w:rPr>
      </w:r>
    </w:p>
    <w:p w:rsidR="00000000" w:rsidDel="00000000" w:rsidP="00000000" w:rsidRDefault="00000000" w:rsidRPr="00000000" w14:paraId="00000053">
      <w:pPr>
        <w:spacing w:after="0" w:line="276" w:lineRule="auto"/>
        <w:ind w:left="3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4">
      <w:pPr>
        <w:spacing w:after="0" w:line="276"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advierte que, no puede ser considerado en este supuesto, toda vez que esta información corresponde a una obligación común de transparencia con la que cuenta el Sujeto Obligado y deberá ser reportada en su portal de Ipomex.</w:t>
      </w:r>
    </w:p>
    <w:p w:rsidR="00000000" w:rsidDel="00000000" w:rsidP="00000000" w:rsidRDefault="00000000" w:rsidRPr="00000000" w14:paraId="00000055">
      <w:pPr>
        <w:spacing w:after="0" w:line="276" w:lineRule="auto"/>
        <w:ind w:left="3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i w:val="0"/>
          <w:smallCaps w:val="0"/>
          <w:strike w:val="0"/>
          <w:color w:val="000000"/>
          <w:sz w:val="22"/>
          <w:szCs w:val="22"/>
          <w:shd w:fill="auto" w:val="clear"/>
          <w:vertAlign w:val="baseline"/>
        </w:rPr>
      </w:pPr>
      <w:bookmarkStart w:colFirst="0" w:colLast="0" w:name="_heading=h.30j0zll" w:id="2"/>
      <w:bookmarkEnd w:id="2"/>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El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Tecnológico de Estudios Superiores de Ixtapaluca</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y la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Universidad Tecnológica de Tecámac</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señalaron haber otorgado recurso público a sí mismo</w:t>
      </w:r>
      <w:r w:rsidDel="00000000" w:rsidR="00000000" w:rsidRPr="00000000">
        <w:rPr>
          <w:rFonts w:ascii="Palatino Linotype" w:cs="Palatino Linotype" w:eastAsia="Palatino Linotype" w:hAnsi="Palatino Linotype"/>
          <w:rtl w:val="0"/>
        </w:rPr>
        <w:t xml:space="preserve">s</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para el desarrollo de sus actividades</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sin embargo derivado de su propia naturaleza jurídica </w:t>
      </w:r>
      <w:r w:rsidDel="00000000" w:rsidR="00000000" w:rsidRPr="00000000">
        <w:rPr>
          <w:rFonts w:ascii="Palatino Linotype" w:cs="Palatino Linotype" w:eastAsia="Palatino Linotype" w:hAnsi="Palatino Linotype"/>
          <w:rtl w:val="0"/>
        </w:rPr>
        <w:t xml:space="preserve">se encuentran contemplados como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Sujetos Obligados en la materia </w:t>
      </w:r>
      <w:r w:rsidDel="00000000" w:rsidR="00000000" w:rsidRPr="00000000">
        <w:rPr>
          <w:rFonts w:ascii="Palatino Linotype" w:cs="Palatino Linotype" w:eastAsia="Palatino Linotype" w:hAnsi="Palatino Linotype"/>
          <w:rtl w:val="0"/>
        </w:rPr>
        <w:t xml:space="preserve">y</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los cuales transparenta</w:t>
      </w:r>
      <w:r w:rsidDel="00000000" w:rsidR="00000000" w:rsidRPr="00000000">
        <w:rPr>
          <w:rFonts w:ascii="Palatino Linotype" w:cs="Palatino Linotype" w:eastAsia="Palatino Linotype" w:hAnsi="Palatino Linotype"/>
          <w:rtl w:val="0"/>
        </w:rPr>
        <w:t xml:space="preserve">n su información, por lo que resulta aplicable</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highlight w:val="white"/>
          <w:rtl w:val="0"/>
        </w:rPr>
        <w:t xml:space="preserve">lo descrito en </w:t>
      </w:r>
      <w:r w:rsidDel="00000000" w:rsidR="00000000" w:rsidRPr="00000000">
        <w:rPr>
          <w:rFonts w:ascii="Palatino Linotype" w:cs="Palatino Linotype" w:eastAsia="Palatino Linotype" w:hAnsi="Palatino Linotype"/>
          <w:rtl w:val="0"/>
        </w:rPr>
        <w:t xml:space="preserve">e</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 artículo 92, fracción XXV de la Ley de Transparencia Local </w:t>
      </w:r>
      <w:r w:rsidDel="00000000" w:rsidR="00000000" w:rsidRPr="00000000">
        <w:rPr>
          <w:rFonts w:ascii="Palatino Linotype" w:cs="Palatino Linotype" w:eastAsia="Palatino Linotype" w:hAnsi="Palatino Linotype"/>
          <w:rtl w:val="0"/>
        </w:rPr>
        <w:t xml:space="preserve">que a la letra señala</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rtl w:val="0"/>
        </w:rPr>
        <w:t xml:space="preserve">Artículo 92.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XXV.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La información financiera sobre el presupuesto asignado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así como los informes del ejercicio trimestral del gasto, en términos de la Ley General de Contabilidad Gubernamental y demás disposiciones jurídicas aplicables; (Sic)</w:t>
      </w:r>
    </w:p>
    <w:p w:rsidR="00000000" w:rsidDel="00000000" w:rsidP="00000000" w:rsidRDefault="00000000" w:rsidRPr="00000000" w14:paraId="0000005B">
      <w:pPr>
        <w:spacing w:line="276" w:lineRule="auto"/>
        <w:ind w:left="720" w:right="333"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[Énfasis añadido]</w:t>
      </w:r>
      <w:r w:rsidDel="00000000" w:rsidR="00000000" w:rsidRPr="00000000">
        <w:rPr>
          <w:rtl w:val="0"/>
        </w:rPr>
      </w:r>
    </w:p>
    <w:p w:rsidR="00000000" w:rsidDel="00000000" w:rsidP="00000000" w:rsidRDefault="00000000" w:rsidRPr="00000000" w14:paraId="0000005C">
      <w:pPr>
        <w:spacing w:line="276"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puede advertir que no pueden ser considerados como personas físicas o jurídico colectivas, toda vez que este tipo de información es reportada  como una obligación común de transparencia en sus respectivos portales de Ipomex.</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360" w:right="0" w:hanging="360"/>
        <w:jc w:val="both"/>
        <w:rPr>
          <w:rFonts w:ascii="Palatino Linotype" w:cs="Palatino Linotype" w:eastAsia="Palatino Linotype" w:hAnsi="Palatino Linotype"/>
          <w:i w:val="0"/>
          <w:smallCaps w:val="0"/>
          <w:strike w:val="0"/>
          <w:color w:val="000000"/>
          <w:sz w:val="22"/>
          <w:szCs w:val="22"/>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Los municipios de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Atenco</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Atizapán de Zaragoza</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Tecámac, Villa de Allende</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y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Villa del Carbón</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consideraron a sus organismos públicos descentralizados como parte del listado de mérito (Sistemas Municipales DIF, Organismos para la prestación de los Servicios de Agua Potable, Alcantarillado y Saneamiento e Instituto de Municipal de Cultura Física y Deporte)</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sin embargo, es importante resaltar que los mismos pertenecen a su estructura orgánica al ser organismos auxiliares; vinculado a ello, la Ley</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Orgánica Municipal del Estado de México en sus artículos 89 y 123, establece que: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rtl w:val="0"/>
        </w:rPr>
        <w:t xml:space="preserve">Artículo 89.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dependencias y entidades de la administración pública municipal, tales como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organismos públicos descentralizados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empresas de participación mayoritaria y fideicomisos, ejercerán las funciones propias de su competencia previstas y serán responsables del ejercicio de las funciones propias de su competencia,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en términos de la Ley o en los reglamentos o acuerdos expedidos por los ayuntamientos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123</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ayuntamientos podrán crear organismos públicos descentralizados para: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 La atención integral de la mujer con perspectiva de género y enfoque de derechos humanos; mediante la creación del Instituto Municipal de las Mujeres y, en su caso, albergues para tal objeto.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b). De la cultura física y deporte; </w:t>
        <w:br w:type="textWrapping"/>
        <w:t xml:space="preserve">c). Instituto Municipal de la Juventud;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 Otros que consideren convenientes.” (Sic)</w:t>
      </w:r>
    </w:p>
    <w:p w:rsidR="00000000" w:rsidDel="00000000" w:rsidP="00000000" w:rsidRDefault="00000000" w:rsidRPr="00000000" w14:paraId="00000067">
      <w:pPr>
        <w:spacing w:line="276" w:lineRule="auto"/>
        <w:ind w:left="720"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[Énfasis añadido]</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i w:val="0"/>
          <w:smallCaps w:val="0"/>
          <w:strike w:val="0"/>
          <w:color w:val="000000"/>
          <w:sz w:val="22"/>
          <w:szCs w:val="22"/>
          <w:shd w:fill="auto" w:val="clear"/>
          <w:vertAlign w:val="baseline"/>
        </w:rPr>
      </w:pPr>
      <w:r w:rsidDel="00000000" w:rsidR="00000000" w:rsidRPr="00000000">
        <w:rPr>
          <w:rFonts w:ascii="Palatino Linotype" w:cs="Palatino Linotype" w:eastAsia="Palatino Linotype" w:hAnsi="Palatino Linotype"/>
          <w:rtl w:val="0"/>
        </w:rPr>
        <w:t xml:space="preserve">El</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municipio de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Chalco y</w:t>
      </w:r>
      <w:r w:rsidDel="00000000" w:rsidR="00000000" w:rsidRPr="00000000">
        <w:rPr>
          <w:rFonts w:ascii="Palatino Linotype" w:cs="Palatino Linotype" w:eastAsia="Palatino Linotype" w:hAnsi="Palatino Linotype"/>
          <w:b w:val="1"/>
          <w:rtl w:val="0"/>
        </w:rPr>
        <w:t xml:space="preserve"> el Instituto Mexiquense de la Infraestructura Física Educativa,</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señal</w:t>
      </w:r>
      <w:r w:rsidDel="00000000" w:rsidR="00000000" w:rsidRPr="00000000">
        <w:rPr>
          <w:rFonts w:ascii="Palatino Linotype" w:cs="Palatino Linotype" w:eastAsia="Palatino Linotype" w:hAnsi="Palatino Linotype"/>
          <w:rtl w:val="0"/>
        </w:rPr>
        <w:t xml:space="preserve">aron</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que otorg</w:t>
      </w:r>
      <w:r w:rsidDel="00000000" w:rsidR="00000000" w:rsidRPr="00000000">
        <w:rPr>
          <w:rFonts w:ascii="Palatino Linotype" w:cs="Palatino Linotype" w:eastAsia="Palatino Linotype" w:hAnsi="Palatino Linotype"/>
          <w:rtl w:val="0"/>
        </w:rPr>
        <w:t xml:space="preserve">aron</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recursos públicos por concepto de pago de cuotas sindicales al</w:t>
      </w:r>
      <w:r w:rsidDel="00000000" w:rsidR="00000000" w:rsidRPr="00000000">
        <w:rPr>
          <w:rFonts w:ascii="Palatino Linotype" w:cs="Palatino Linotype" w:eastAsia="Palatino Linotype" w:hAnsi="Palatino Linotype"/>
          <w:b w:val="0"/>
          <w:i w:val="0"/>
          <w:smallCaps w:val="0"/>
          <w:strike w:val="0"/>
          <w:color w:val="000000"/>
          <w:sz w:val="22"/>
          <w:szCs w:val="22"/>
          <w:highlight w:val="white"/>
          <w:u w:val="none"/>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Sindicato Único de Trabajadores de los Poderes, Municipios e Instituciones Descentralizadas del Estado de México</w:t>
      </w:r>
      <w:r w:rsidDel="00000000" w:rsidR="00000000" w:rsidRPr="00000000">
        <w:rPr>
          <w:rFonts w:ascii="Palatino Linotype" w:cs="Palatino Linotype" w:eastAsia="Palatino Linotype" w:hAnsi="Palatino Linotype"/>
          <w:b w:val="0"/>
          <w:i w:val="0"/>
          <w:smallCaps w:val="0"/>
          <w:strike w:val="0"/>
          <w:color w:val="000000"/>
          <w:sz w:val="22"/>
          <w:szCs w:val="22"/>
          <w:highlight w:val="white"/>
          <w:u w:val="none"/>
          <w:vertAlign w:val="baseline"/>
          <w:rtl w:val="0"/>
        </w:rPr>
        <w:t xml:space="preserve">,</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no obstante el artículo 92 fracción XX, de la Ley de Transparencia Local, indica lo siguiente: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rtl w:val="0"/>
        </w:rPr>
        <w:t xml:space="preserve">Artículo 92.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3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XX. Las condiciones generales de trabajo, contratos o convenios que regulen las relaciones laborales del personal de base o de confianza, así como los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recursos públicos económicos, en especie o donativos, que sean entregados a los Sindicatos y ejerzan como recursos públicos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(Sic)</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333"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[Énfasis añadido]</w:t>
      </w:r>
    </w:p>
    <w:p w:rsidR="00000000" w:rsidDel="00000000" w:rsidP="00000000" w:rsidRDefault="00000000" w:rsidRPr="00000000" w14:paraId="0000006E">
      <w:pPr>
        <w:spacing w:line="276" w:lineRule="auto"/>
        <w:ind w:left="42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ello se desprende que no puede ser considerado en este supuesto, derivado a que esta información es reportada como una obligación común de transparencia con la que cuenta el Sujeto Obligado en su portal de Ipomex.</w:t>
      </w:r>
    </w:p>
    <w:p w:rsidR="00000000" w:rsidDel="00000000" w:rsidP="00000000" w:rsidRDefault="00000000" w:rsidRPr="00000000" w14:paraId="0000006F">
      <w:pPr>
        <w:spacing w:line="240" w:lineRule="auto"/>
        <w:ind w:left="426"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0">
      <w:pPr>
        <w:numPr>
          <w:ilvl w:val="0"/>
          <w:numId w:val="2"/>
        </w:numPr>
        <w:spacing w:after="0" w:line="240" w:lineRule="auto"/>
        <w:ind w:left="36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Sistema Municipal para el Desarrollo Integral de la Familia de Coacalco de Berriozábal </w:t>
      </w:r>
      <w:r w:rsidDel="00000000" w:rsidR="00000000" w:rsidRPr="00000000">
        <w:rPr>
          <w:rFonts w:ascii="Palatino Linotype" w:cs="Palatino Linotype" w:eastAsia="Palatino Linotype" w:hAnsi="Palatino Linotype"/>
          <w:rtl w:val="0"/>
        </w:rPr>
        <w:t xml:space="preserve">indicó asignar recurso destinado a un programa social, por ello resulta aplicable </w:t>
      </w:r>
      <w:r w:rsidDel="00000000" w:rsidR="00000000" w:rsidRPr="00000000">
        <w:rPr>
          <w:rFonts w:ascii="Palatino Linotype" w:cs="Palatino Linotype" w:eastAsia="Palatino Linotype" w:hAnsi="Palatino Linotype"/>
          <w:highlight w:val="white"/>
          <w:rtl w:val="0"/>
        </w:rPr>
        <w:t xml:space="preserve">lo descrito en </w:t>
      </w:r>
      <w:r w:rsidDel="00000000" w:rsidR="00000000" w:rsidRPr="00000000">
        <w:rPr>
          <w:rFonts w:ascii="Palatino Linotype" w:cs="Palatino Linotype" w:eastAsia="Palatino Linotype" w:hAnsi="Palatino Linotype"/>
          <w:rtl w:val="0"/>
        </w:rPr>
        <w:t xml:space="preserve">el artículo 92, fracción XIV y XXV de la Ley de Transparencia Local que a la letra señala:  </w:t>
      </w:r>
    </w:p>
    <w:p w:rsidR="00000000" w:rsidDel="00000000" w:rsidP="00000000" w:rsidRDefault="00000000" w:rsidRPr="00000000" w14:paraId="00000071">
      <w:pPr>
        <w:spacing w:after="0" w:line="276" w:lineRule="auto"/>
        <w:ind w:left="3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2">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i w:val="1"/>
          <w:rtl w:val="0"/>
        </w:rPr>
        <w:t xml:space="preserve">Artículo 92. </w:t>
      </w:r>
      <w:r w:rsidDel="00000000" w:rsidR="00000000" w:rsidRPr="00000000">
        <w:rPr>
          <w:rFonts w:ascii="Palatino Linotype" w:cs="Palatino Linotype" w:eastAsia="Palatino Linotype" w:hAnsi="Palatino Linotype"/>
          <w:i w:val="1"/>
          <w:rtl w:val="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000000" w:rsidDel="00000000" w:rsidP="00000000" w:rsidRDefault="00000000" w:rsidRPr="00000000" w14:paraId="00000073">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74">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XIV. </w:t>
      </w:r>
      <w:r w:rsidDel="00000000" w:rsidR="00000000" w:rsidRPr="00000000">
        <w:rPr>
          <w:rFonts w:ascii="Palatino Linotype" w:cs="Palatino Linotype" w:eastAsia="Palatino Linotype" w:hAnsi="Palatino Linotype"/>
          <w:b w:val="1"/>
          <w:i w:val="1"/>
          <w:rtl w:val="0"/>
        </w:rPr>
        <w:t xml:space="preserve">La información de los programas de subsidios, estímulos y apoyos</w:t>
      </w:r>
      <w:r w:rsidDel="00000000" w:rsidR="00000000" w:rsidRPr="00000000">
        <w:rPr>
          <w:rFonts w:ascii="Palatino Linotype" w:cs="Palatino Linotype" w:eastAsia="Palatino Linotype" w:hAnsi="Palatino Linotype"/>
          <w:i w:val="1"/>
          <w:rtl w:val="0"/>
        </w:rPr>
        <w:t xml:space="preserve">, en el que se deberá informar respecto de los programas de transferencia, de servicios, de infraestructura social y de subsidio…</w:t>
      </w:r>
    </w:p>
    <w:p w:rsidR="00000000" w:rsidDel="00000000" w:rsidP="00000000" w:rsidRDefault="00000000" w:rsidRPr="00000000" w14:paraId="00000075">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76">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XXV. </w:t>
      </w:r>
      <w:r w:rsidDel="00000000" w:rsidR="00000000" w:rsidRPr="00000000">
        <w:rPr>
          <w:rFonts w:ascii="Palatino Linotype" w:cs="Palatino Linotype" w:eastAsia="Palatino Linotype" w:hAnsi="Palatino Linotype"/>
          <w:b w:val="1"/>
          <w:i w:val="1"/>
          <w:rtl w:val="0"/>
        </w:rPr>
        <w:t xml:space="preserve">La información financiera sobre el presupuesto asignado</w:t>
      </w:r>
      <w:r w:rsidDel="00000000" w:rsidR="00000000" w:rsidRPr="00000000">
        <w:rPr>
          <w:rFonts w:ascii="Palatino Linotype" w:cs="Palatino Linotype" w:eastAsia="Palatino Linotype" w:hAnsi="Palatino Linotype"/>
          <w:i w:val="1"/>
          <w:rtl w:val="0"/>
        </w:rPr>
        <w:t xml:space="preserve">, así como los informes del ejercicio trimestral del gasto, en términos de la Ley General de Contabilidad Gubernamental y demás disposiciones jurídicas aplicables;” (Sic)</w:t>
      </w:r>
    </w:p>
    <w:p w:rsidR="00000000" w:rsidDel="00000000" w:rsidP="00000000" w:rsidRDefault="00000000" w:rsidRPr="00000000" w14:paraId="00000077">
      <w:pPr>
        <w:spacing w:line="276" w:lineRule="auto"/>
        <w:ind w:left="720" w:right="333"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[Énfasis añadido]</w:t>
      </w:r>
      <w:r w:rsidDel="00000000" w:rsidR="00000000" w:rsidRPr="00000000">
        <w:rPr>
          <w:rtl w:val="0"/>
        </w:rPr>
      </w:r>
    </w:p>
    <w:p w:rsidR="00000000" w:rsidDel="00000000" w:rsidP="00000000" w:rsidRDefault="00000000" w:rsidRPr="00000000" w14:paraId="00000078">
      <w:pPr>
        <w:spacing w:line="276"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Atento a ello, se concluye que no encuadra en el supuesto, toda vez que este tipo de información es reportada en dos fracciones distintas como una obligación común de transparencia en su respectivo portal de Ipomex del Sujeto Obligado.</w:t>
      </w:r>
    </w:p>
    <w:p w:rsidR="00000000" w:rsidDel="00000000" w:rsidP="00000000" w:rsidRDefault="00000000" w:rsidRPr="00000000" w14:paraId="00000079">
      <w:pPr>
        <w:spacing w:line="276" w:lineRule="auto"/>
        <w:ind w:lef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A">
      <w:pPr>
        <w:numPr>
          <w:ilvl w:val="0"/>
          <w:numId w:val="2"/>
        </w:numPr>
        <w:spacing w:after="0" w:line="240" w:lineRule="auto"/>
        <w:ind w:left="36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Instituto de Administración Pública del Estado de México </w:t>
      </w:r>
      <w:r w:rsidDel="00000000" w:rsidR="00000000" w:rsidRPr="00000000">
        <w:rPr>
          <w:rFonts w:ascii="Palatino Linotype" w:cs="Palatino Linotype" w:eastAsia="Palatino Linotype" w:hAnsi="Palatino Linotype"/>
          <w:rtl w:val="0"/>
        </w:rPr>
        <w:t xml:space="preserve">indicó asignar recurso destinado a capacitaciones, por ello resulta aplicable </w:t>
      </w:r>
      <w:r w:rsidDel="00000000" w:rsidR="00000000" w:rsidRPr="00000000">
        <w:rPr>
          <w:rFonts w:ascii="Palatino Linotype" w:cs="Palatino Linotype" w:eastAsia="Palatino Linotype" w:hAnsi="Palatino Linotype"/>
          <w:highlight w:val="white"/>
          <w:rtl w:val="0"/>
        </w:rPr>
        <w:t xml:space="preserve">lo establecido en </w:t>
      </w:r>
      <w:r w:rsidDel="00000000" w:rsidR="00000000" w:rsidRPr="00000000">
        <w:rPr>
          <w:rFonts w:ascii="Palatino Linotype" w:cs="Palatino Linotype" w:eastAsia="Palatino Linotype" w:hAnsi="Palatino Linotype"/>
          <w:rtl w:val="0"/>
        </w:rPr>
        <w:t xml:space="preserve">el artículo 92, fracción XXV de la Ley de Transparencia Local que a la letra señala:  </w:t>
      </w:r>
    </w:p>
    <w:p w:rsidR="00000000" w:rsidDel="00000000" w:rsidP="00000000" w:rsidRDefault="00000000" w:rsidRPr="00000000" w14:paraId="0000007B">
      <w:pPr>
        <w:spacing w:after="0" w:line="276" w:lineRule="auto"/>
        <w:ind w:left="3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C">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i w:val="1"/>
          <w:rtl w:val="0"/>
        </w:rPr>
        <w:t xml:space="preserve">Artículo 92. </w:t>
      </w:r>
      <w:r w:rsidDel="00000000" w:rsidR="00000000" w:rsidRPr="00000000">
        <w:rPr>
          <w:rFonts w:ascii="Palatino Linotype" w:cs="Palatino Linotype" w:eastAsia="Palatino Linotype" w:hAnsi="Palatino Linotype"/>
          <w:i w:val="1"/>
          <w:rtl w:val="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000000" w:rsidDel="00000000" w:rsidP="00000000" w:rsidRDefault="00000000" w:rsidRPr="00000000" w14:paraId="0000007D">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7E">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XXV. </w:t>
      </w:r>
      <w:r w:rsidDel="00000000" w:rsidR="00000000" w:rsidRPr="00000000">
        <w:rPr>
          <w:rFonts w:ascii="Palatino Linotype" w:cs="Palatino Linotype" w:eastAsia="Palatino Linotype" w:hAnsi="Palatino Linotype"/>
          <w:b w:val="1"/>
          <w:i w:val="1"/>
          <w:rtl w:val="0"/>
        </w:rPr>
        <w:t xml:space="preserve">La información financiera sobre el presupuesto asignado</w:t>
      </w:r>
      <w:r w:rsidDel="00000000" w:rsidR="00000000" w:rsidRPr="00000000">
        <w:rPr>
          <w:rFonts w:ascii="Palatino Linotype" w:cs="Palatino Linotype" w:eastAsia="Palatino Linotype" w:hAnsi="Palatino Linotype"/>
          <w:i w:val="1"/>
          <w:rtl w:val="0"/>
        </w:rPr>
        <w:t xml:space="preserve">, así como los informes del ejercicio trimestral del gasto, en términos de la Ley General de Contabilidad Gubernamental y demás disposiciones jurídicas aplicables;” (Sic)</w:t>
      </w:r>
    </w:p>
    <w:p w:rsidR="00000000" w:rsidDel="00000000" w:rsidP="00000000" w:rsidRDefault="00000000" w:rsidRPr="00000000" w14:paraId="0000007F">
      <w:pPr>
        <w:spacing w:line="276" w:lineRule="auto"/>
        <w:ind w:left="720" w:right="333"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[Énfasis añadido]</w:t>
      </w:r>
      <w:r w:rsidDel="00000000" w:rsidR="00000000" w:rsidRPr="00000000">
        <w:rPr>
          <w:rtl w:val="0"/>
        </w:rPr>
      </w:r>
    </w:p>
    <w:p w:rsidR="00000000" w:rsidDel="00000000" w:rsidP="00000000" w:rsidRDefault="00000000" w:rsidRPr="00000000" w14:paraId="00000080">
      <w:pPr>
        <w:spacing w:line="276"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tenor, se estima que no encuadra en el supuesto, toda vez que este tipo de información es reportada como una obligación común de transparencia en su respectivo portal de Ipomex del Sujeto Obligado.</w:t>
      </w:r>
    </w:p>
    <w:p w:rsidR="00000000" w:rsidDel="00000000" w:rsidP="00000000" w:rsidRDefault="00000000" w:rsidRPr="00000000" w14:paraId="00000081">
      <w:pPr>
        <w:numPr>
          <w:ilvl w:val="0"/>
          <w:numId w:val="2"/>
        </w:numPr>
        <w:spacing w:after="0" w:line="240" w:lineRule="auto"/>
        <w:ind w:left="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municipio de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rtl w:val="0"/>
        </w:rPr>
        <w:t xml:space="preserve">Zacazonapan</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indicó asignar recursos públicos a un listado de personas físicas y morales que se encuentran como sus proveedores de diversos bienes o servicios,  por ello resulta aplicable </w:t>
      </w:r>
      <w:r w:rsidDel="00000000" w:rsidR="00000000" w:rsidRPr="00000000">
        <w:rPr>
          <w:rFonts w:ascii="Palatino Linotype" w:cs="Palatino Linotype" w:eastAsia="Palatino Linotype" w:hAnsi="Palatino Linotype"/>
          <w:highlight w:val="white"/>
          <w:rtl w:val="0"/>
        </w:rPr>
        <w:t xml:space="preserve">lo establecido en </w:t>
      </w:r>
      <w:r w:rsidDel="00000000" w:rsidR="00000000" w:rsidRPr="00000000">
        <w:rPr>
          <w:rFonts w:ascii="Palatino Linotype" w:cs="Palatino Linotype" w:eastAsia="Palatino Linotype" w:hAnsi="Palatino Linotype"/>
          <w:rtl w:val="0"/>
        </w:rPr>
        <w:t xml:space="preserve">el artículo 92, fracción XXXVI de la Ley de Transparencia Local que a la letra señala:  </w:t>
      </w:r>
    </w:p>
    <w:p w:rsidR="00000000" w:rsidDel="00000000" w:rsidP="00000000" w:rsidRDefault="00000000" w:rsidRPr="00000000" w14:paraId="00000082">
      <w:pPr>
        <w:spacing w:after="0" w:line="276" w:lineRule="auto"/>
        <w:ind w:left="3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3">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i w:val="1"/>
          <w:rtl w:val="0"/>
        </w:rPr>
        <w:t xml:space="preserve">Artículo 92. </w:t>
      </w:r>
      <w:r w:rsidDel="00000000" w:rsidR="00000000" w:rsidRPr="00000000">
        <w:rPr>
          <w:rFonts w:ascii="Palatino Linotype" w:cs="Palatino Linotype" w:eastAsia="Palatino Linotype" w:hAnsi="Palatino Linotype"/>
          <w:i w:val="1"/>
          <w:rtl w:val="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000000" w:rsidDel="00000000" w:rsidP="00000000" w:rsidRDefault="00000000" w:rsidRPr="00000000" w14:paraId="00000084">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85">
      <w:pPr>
        <w:spacing w:after="0" w:line="276" w:lineRule="auto"/>
        <w:ind w:left="709" w:right="33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XXXVI. </w:t>
      </w:r>
      <w:r w:rsidDel="00000000" w:rsidR="00000000" w:rsidRPr="00000000">
        <w:rPr>
          <w:rFonts w:ascii="Palatino Linotype" w:cs="Palatino Linotype" w:eastAsia="Palatino Linotype" w:hAnsi="Palatino Linotype"/>
          <w:b w:val="1"/>
          <w:i w:val="1"/>
          <w:rtl w:val="0"/>
        </w:rPr>
        <w:t xml:space="preserve">Padrón de proveedores y contratistas</w:t>
      </w:r>
      <w:r w:rsidDel="00000000" w:rsidR="00000000" w:rsidRPr="00000000">
        <w:rPr>
          <w:rFonts w:ascii="Palatino Linotype" w:cs="Palatino Linotype" w:eastAsia="Palatino Linotype" w:hAnsi="Palatino Linotype"/>
          <w:i w:val="1"/>
          <w:rtl w:val="0"/>
        </w:rPr>
        <w:t xml:space="preserve">;” (Sic)</w:t>
      </w:r>
    </w:p>
    <w:p w:rsidR="00000000" w:rsidDel="00000000" w:rsidP="00000000" w:rsidRDefault="00000000" w:rsidRPr="00000000" w14:paraId="00000086">
      <w:pPr>
        <w:spacing w:after="0" w:line="276" w:lineRule="auto"/>
        <w:ind w:left="709" w:right="333"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[Énfasis añadido]</w:t>
      </w:r>
      <w:r w:rsidDel="00000000" w:rsidR="00000000" w:rsidRPr="00000000">
        <w:rPr>
          <w:rtl w:val="0"/>
        </w:rPr>
      </w:r>
    </w:p>
    <w:p w:rsidR="00000000" w:rsidDel="00000000" w:rsidP="00000000" w:rsidRDefault="00000000" w:rsidRPr="00000000" w14:paraId="00000087">
      <w:pPr>
        <w:spacing w:after="0" w:line="276" w:lineRule="auto"/>
        <w:ind w:left="36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8">
      <w:pPr>
        <w:spacing w:after="0" w:line="276"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Vinculado al precepto legal antes señalado, se estima que no encuadra en el supuesto, toda vez que este tipo de información es reportada como una obligación común de transparencia en su respectivo portal de Ipomex del Sujeto Obligado.</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360" w:right="0" w:hanging="360"/>
        <w:jc w:val="both"/>
        <w:rPr>
          <w:rFonts w:ascii="Palatino Linotype" w:cs="Palatino Linotype" w:eastAsia="Palatino Linotype" w:hAnsi="Palatino Linotype"/>
          <w:i w:val="0"/>
          <w:smallCaps w:val="0"/>
          <w:strike w:val="0"/>
          <w:color w:val="000000"/>
          <w:sz w:val="22"/>
          <w:szCs w:val="22"/>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El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Sindicato Único de Trabajadores de los Poderes, Municipios e Instituciones Descentralizadas del Estado de México</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señaló que otorgó recursos a servidores públicos, sin embargo en observancia al artículo 102 fracción IV, de la Ley de Transparencia Local, indica lo siguiente: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5" w:right="33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rtl w:val="0"/>
        </w:rPr>
        <w:t xml:space="preserve">Artículo 102.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sindicatos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5" w:right="33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5" w:right="33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IV.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La relación detallada de los recursos </w:t>
      </w:r>
      <w:r w:rsidDel="00000000" w:rsidR="00000000" w:rsidRPr="00000000">
        <w:rPr>
          <w:rFonts w:ascii="Palatino Linotype" w:cs="Palatino Linotype" w:eastAsia="Palatino Linotype" w:hAnsi="Palatino Linotype"/>
          <w:b w:val="1"/>
          <w:i w:val="1"/>
          <w:rtl w:val="0"/>
        </w:rPr>
        <w:t xml:space="preserve">públicos</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 económicos, en especie, bienes o donativos que reciban y el informe detallado del ejercicio y destino final de los recursos públicos que ejerzan</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(Sic)</w:t>
      </w:r>
    </w:p>
    <w:p w:rsidR="00000000" w:rsidDel="00000000" w:rsidP="00000000" w:rsidRDefault="00000000" w:rsidRPr="00000000" w14:paraId="0000008E">
      <w:pPr>
        <w:spacing w:after="0" w:line="276" w:lineRule="auto"/>
        <w:ind w:left="705" w:right="33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[Énfasis añadido]</w:t>
      </w:r>
    </w:p>
    <w:p w:rsidR="00000000" w:rsidDel="00000000" w:rsidP="00000000" w:rsidRDefault="00000000" w:rsidRPr="00000000" w14:paraId="0000008F">
      <w:pPr>
        <w:spacing w:after="0" w:line="276" w:lineRule="auto"/>
        <w:ind w:left="720" w:right="333"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90">
      <w:pPr>
        <w:spacing w:line="276" w:lineRule="auto"/>
        <w:ind w:left="42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relación al precepto legal antes citado, no puede ser considerado en este supuesto, derivado a que esta información se es reportada  como una obligación específica de transparencia con la que cuenta el Sujeto Obligado en su portal de Ipomex a través de un convenio de sueldo y prestaciones.</w:t>
      </w:r>
    </w:p>
    <w:p w:rsidR="00000000" w:rsidDel="00000000" w:rsidP="00000000" w:rsidRDefault="00000000" w:rsidRPr="00000000" w14:paraId="00000091">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2">
      <w:pPr>
        <w:tabs>
          <w:tab w:val="left" w:leader="none" w:pos="6765"/>
        </w:tabs>
        <w:spacing w:after="0" w:line="276"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anteriormente expuesto y de conformidad con lo previsto en el artículo 81 de la Ley General de Transparencia y Acceso al Información Pública, los artículos 27, 104 y 105 de la Ley de Transparencia Local, y el Anexo XIV personas físicas y morales que reciban y ejerzan recursos públicos o realicen actos de autoridad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así como en correlación con el análisis a la información correspondiente remitida por parte de los Sujetos Obligados, </w:t>
      </w:r>
      <w:r w:rsidDel="00000000" w:rsidR="00000000" w:rsidRPr="00000000">
        <w:rPr>
          <w:rFonts w:ascii="Palatino Linotype" w:cs="Palatino Linotype" w:eastAsia="Palatino Linotype" w:hAnsi="Palatino Linotype"/>
          <w:color w:val="000000"/>
          <w:rtl w:val="0"/>
        </w:rPr>
        <w:t xml:space="preserve">la Dirección General de Transparencia, Acceso a la Información Pública y Gobierno Abierto:</w:t>
      </w:r>
      <w:r w:rsidDel="00000000" w:rsidR="00000000" w:rsidRPr="00000000">
        <w:rPr>
          <w:rtl w:val="0"/>
        </w:rPr>
      </w:r>
    </w:p>
    <w:p w:rsidR="00000000" w:rsidDel="00000000" w:rsidP="00000000" w:rsidRDefault="00000000" w:rsidRPr="00000000" w14:paraId="00000093">
      <w:pPr>
        <w:tabs>
          <w:tab w:val="left" w:leader="none" w:pos="6765"/>
        </w:tabs>
        <w:spacing w:after="0" w:line="276" w:lineRule="auto"/>
        <w:ind w:right="49"/>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94">
      <w:pPr>
        <w:tabs>
          <w:tab w:val="left" w:leader="none" w:pos="6765"/>
        </w:tabs>
        <w:spacing w:after="0" w:line="276" w:lineRule="auto"/>
        <w:ind w:right="4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color w:val="000000"/>
          <w:rtl w:val="0"/>
        </w:rPr>
        <w:t xml:space="preserve">ACUERDA</w:t>
      </w:r>
      <w:r w:rsidDel="00000000" w:rsidR="00000000" w:rsidRPr="00000000">
        <w:rPr>
          <w:rtl w:val="0"/>
        </w:rPr>
      </w:r>
    </w:p>
    <w:p w:rsidR="00000000" w:rsidDel="00000000" w:rsidP="00000000" w:rsidRDefault="00000000" w:rsidRPr="00000000" w14:paraId="00000095">
      <w:pPr>
        <w:spacing w:after="0" w:line="276" w:lineRule="auto"/>
        <w:rPr>
          <w:rFonts w:ascii="Palatino Linotype" w:cs="Palatino Linotype" w:eastAsia="Palatino Linotype" w:hAnsi="Palatino Linotype"/>
          <w:b w:val="1"/>
          <w:color w:val="000000"/>
        </w:rPr>
      </w:pPr>
      <w:bookmarkStart w:colFirst="0" w:colLast="0" w:name="_heading=h.3znysh7" w:id="3"/>
      <w:bookmarkEnd w:id="3"/>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ÚNICO.</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Se dictamina que la información remitida, no cumple con los criterios para considerarse personas físicas o jurídico colectivas a las que por cualquier motivo asignaron recursos públicos o, en términos de las disposiciones jurídicas aplicables, realizan actos de autoridad; por lo tanto, no se cuenta con el listado enunciado en la normatividad en la materia, conforme se precisa en los considerandos del presente documento y sus anexos. </w:t>
      </w:r>
    </w:p>
    <w:p w:rsidR="00000000" w:rsidDel="00000000" w:rsidP="00000000" w:rsidRDefault="00000000" w:rsidRPr="00000000" w14:paraId="00000097">
      <w:pPr>
        <w:tabs>
          <w:tab w:val="left" w:leader="none" w:pos="6765"/>
        </w:tabs>
        <w:spacing w:after="0" w:line="276"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8">
      <w:pPr>
        <w:spacing w:line="276"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br w:type="textWrapping"/>
      </w:r>
      <w:r w:rsidDel="00000000" w:rsidR="00000000" w:rsidRPr="00000000">
        <w:rPr>
          <w:rFonts w:ascii="Palatino Linotype" w:cs="Palatino Linotype" w:eastAsia="Palatino Linotype" w:hAnsi="Palatino Linotype"/>
          <w:color w:val="000000"/>
          <w:rtl w:val="0"/>
        </w:rPr>
        <w:t xml:space="preserve">El presente dictamen se </w:t>
      </w:r>
      <w:r w:rsidDel="00000000" w:rsidR="00000000" w:rsidRPr="00000000">
        <w:rPr>
          <w:rFonts w:ascii="Palatino Linotype" w:cs="Palatino Linotype" w:eastAsia="Palatino Linotype" w:hAnsi="Palatino Linotype"/>
          <w:color w:val="000000"/>
          <w:highlight w:val="white"/>
          <w:rtl w:val="0"/>
        </w:rPr>
        <w:t xml:space="preserve">emite a </w:t>
      </w:r>
      <w:r w:rsidDel="00000000" w:rsidR="00000000" w:rsidRPr="00000000">
        <w:rPr>
          <w:rFonts w:ascii="Palatino Linotype" w:cs="Palatino Linotype" w:eastAsia="Palatino Linotype" w:hAnsi="Palatino Linotype"/>
          <w:color w:val="000000"/>
          <w:rtl w:val="0"/>
        </w:rPr>
        <w:t xml:space="preserve">los 10 días </w:t>
      </w:r>
      <w:r w:rsidDel="00000000" w:rsidR="00000000" w:rsidRPr="00000000">
        <w:rPr>
          <w:rFonts w:ascii="Palatino Linotype" w:cs="Palatino Linotype" w:eastAsia="Palatino Linotype" w:hAnsi="Palatino Linotype"/>
          <w:color w:val="000000"/>
          <w:highlight w:val="white"/>
          <w:rtl w:val="0"/>
        </w:rPr>
        <w:t xml:space="preserve">del mes de marzo de 2023.----------------------------</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-1070604</wp:posOffset>
          </wp:positionH>
          <wp:positionV relativeFrom="paragraph">
            <wp:posOffset>-449573</wp:posOffset>
          </wp:positionV>
          <wp:extent cx="7756263" cy="10101221"/>
          <wp:effectExtent b="0" l="0" r="0" t="0"/>
          <wp:wrapNone/>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56263" cy="10101221"/>
                  </a:xfrm>
                  <a:prstGeom prst="rect"/>
                  <a:ln/>
                </pic:spPr>
              </pic:pic>
            </a:graphicData>
          </a:graphic>
        </wp:anchor>
      </w:drawing>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rPr>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rPr>
        <w:color w:val="000000"/>
      </w:rPr>
    </w:pPr>
    <w:r w:rsidDel="00000000" w:rsidR="00000000" w:rsidRPr="00000000">
      <w:rPr>
        <w:color w:val="000000"/>
        <w:rtl w:val="0"/>
      </w:rPr>
      <w:tab/>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5533390" cy="332740"/>
              <wp:effectExtent b="0" l="0" r="0" t="0"/>
              <wp:wrapNone/>
              <wp:docPr id="15" name=""/>
              <a:graphic>
                <a:graphicData uri="http://schemas.microsoft.com/office/word/2010/wordprocessingShape">
                  <wps:wsp>
                    <wps:cNvSpPr/>
                    <wps:cNvPr id="2" name="Shape 2"/>
                    <wps:spPr>
                      <a:xfrm>
                        <a:off x="2593593" y="3627918"/>
                        <a:ext cx="5504815" cy="30416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Palatino Linotype" w:cs="Palatino Linotype" w:eastAsia="Palatino Linotype" w:hAnsi="Palatino Linotype"/>
                              <w:b w:val="0"/>
                              <w:i w:val="0"/>
                              <w:smallCaps w:val="0"/>
                              <w:strike w:val="0"/>
                              <w:color w:val="222222"/>
                              <w:sz w:val="17"/>
                              <w:highlight w:val="white"/>
                              <w:vertAlign w:val="baseline"/>
                            </w:rPr>
                            <w:t xml:space="preserve">“2023. Septuagésimo Aniversario del Reconocimiento del Derecho al Voto de las Mujeres en México.”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5533390" cy="332740"/>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533390" cy="332740"/>
                      </a:xfrm>
                      <a:prstGeom prst="rect"/>
                      <a:ln/>
                    </pic:spPr>
                  </pic:pic>
                </a:graphicData>
              </a:graphic>
            </wp:anchor>
          </w:drawing>
        </mc:Fallback>
      </mc:AlternateConten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rPr>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Letter"/>
      <w:lvlText w:val="%1."/>
      <w:lvlJc w:val="left"/>
      <w:pPr>
        <w:ind w:left="360" w:hanging="360"/>
      </w:pPr>
      <w:rPr>
        <w:b w:val="1"/>
        <w:i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361" w:hanging="360"/>
      </w:pPr>
      <w:rPr>
        <w:b w:val="1"/>
      </w:rPr>
    </w:lvl>
    <w:lvl w:ilvl="1">
      <w:start w:val="1"/>
      <w:numFmt w:val="lowerLetter"/>
      <w:lvlText w:val="%2."/>
      <w:lvlJc w:val="left"/>
      <w:pPr>
        <w:ind w:left="1081" w:hanging="360"/>
      </w:pPr>
      <w:rPr/>
    </w:lvl>
    <w:lvl w:ilvl="2">
      <w:start w:val="1"/>
      <w:numFmt w:val="lowerRoman"/>
      <w:lvlText w:val="%3."/>
      <w:lvlJc w:val="right"/>
      <w:pPr>
        <w:ind w:left="1801" w:hanging="180"/>
      </w:pPr>
      <w:rPr/>
    </w:lvl>
    <w:lvl w:ilvl="3">
      <w:start w:val="1"/>
      <w:numFmt w:val="decimal"/>
      <w:lvlText w:val="%4."/>
      <w:lvlJc w:val="left"/>
      <w:pPr>
        <w:ind w:left="2521" w:hanging="360"/>
      </w:pPr>
      <w:rPr/>
    </w:lvl>
    <w:lvl w:ilvl="4">
      <w:start w:val="1"/>
      <w:numFmt w:val="lowerLetter"/>
      <w:lvlText w:val="%5."/>
      <w:lvlJc w:val="left"/>
      <w:pPr>
        <w:ind w:left="3241" w:hanging="360"/>
      </w:pPr>
      <w:rPr/>
    </w:lvl>
    <w:lvl w:ilvl="5">
      <w:start w:val="1"/>
      <w:numFmt w:val="lowerRoman"/>
      <w:lvlText w:val="%6."/>
      <w:lvlJc w:val="right"/>
      <w:pPr>
        <w:ind w:left="3961" w:hanging="180"/>
      </w:pPr>
      <w:rPr/>
    </w:lvl>
    <w:lvl w:ilvl="6">
      <w:start w:val="1"/>
      <w:numFmt w:val="decimal"/>
      <w:lvlText w:val="%7."/>
      <w:lvlJc w:val="left"/>
      <w:pPr>
        <w:ind w:left="4681" w:hanging="360"/>
      </w:pPr>
      <w:rPr/>
    </w:lvl>
    <w:lvl w:ilvl="7">
      <w:start w:val="1"/>
      <w:numFmt w:val="lowerLetter"/>
      <w:lvlText w:val="%8."/>
      <w:lvlJc w:val="left"/>
      <w:pPr>
        <w:ind w:left="5401" w:hanging="360"/>
      </w:pPr>
      <w:rPr/>
    </w:lvl>
    <w:lvl w:ilvl="8">
      <w:start w:val="1"/>
      <w:numFmt w:val="lowerRoman"/>
      <w:lvlText w:val="%9."/>
      <w:lvlJc w:val="right"/>
      <w:pPr>
        <w:ind w:left="6121"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C0FBA"/>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CF08F0"/>
    <w:pPr>
      <w:ind w:left="720"/>
      <w:contextualSpacing w:val="1"/>
    </w:pPr>
  </w:style>
  <w:style w:type="paragraph" w:styleId="Encabezado">
    <w:name w:val="header"/>
    <w:basedOn w:val="Normal"/>
    <w:link w:val="EncabezadoCar"/>
    <w:uiPriority w:val="99"/>
    <w:unhideWhenUsed w:val="1"/>
    <w:rsid w:val="008973F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73F9"/>
  </w:style>
  <w:style w:type="paragraph" w:styleId="Piedepgina">
    <w:name w:val="footer"/>
    <w:basedOn w:val="Normal"/>
    <w:link w:val="PiedepginaCar"/>
    <w:uiPriority w:val="99"/>
    <w:unhideWhenUsed w:val="1"/>
    <w:rsid w:val="008973F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73F9"/>
  </w:style>
  <w:style w:type="table" w:styleId="Tablaconcuadrcula">
    <w:name w:val="Table Grid"/>
    <w:basedOn w:val="Tablanormal"/>
    <w:uiPriority w:val="39"/>
    <w:rsid w:val="0012730D"/>
    <w:pPr>
      <w:spacing w:after="0" w:line="240" w:lineRule="auto"/>
    </w:pPr>
    <w:rPr>
      <w:lang w:val="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efdecomentario">
    <w:name w:val="annotation reference"/>
    <w:basedOn w:val="Fuentedeprrafopredeter"/>
    <w:uiPriority w:val="99"/>
    <w:semiHidden w:val="1"/>
    <w:unhideWhenUsed w:val="1"/>
    <w:rsid w:val="001C1B28"/>
    <w:rPr>
      <w:sz w:val="16"/>
      <w:szCs w:val="16"/>
    </w:rPr>
  </w:style>
  <w:style w:type="paragraph" w:styleId="Textocomentario">
    <w:name w:val="annotation text"/>
    <w:basedOn w:val="Normal"/>
    <w:link w:val="TextocomentarioCar"/>
    <w:uiPriority w:val="99"/>
    <w:semiHidden w:val="1"/>
    <w:unhideWhenUsed w:val="1"/>
    <w:rsid w:val="001C1B2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1C1B28"/>
    <w:rPr>
      <w:rFonts w:ascii="Calibri" w:cs="Calibri" w:eastAsia="Calibri" w:hAnsi="Calibri"/>
      <w:sz w:val="20"/>
      <w:szCs w:val="20"/>
      <w:lang w:eastAsia="es-MX"/>
    </w:rPr>
  </w:style>
  <w:style w:type="paragraph" w:styleId="Asuntodelcomentario">
    <w:name w:val="annotation subject"/>
    <w:basedOn w:val="Textocomentario"/>
    <w:next w:val="Textocomentario"/>
    <w:link w:val="AsuntodelcomentarioCar"/>
    <w:uiPriority w:val="99"/>
    <w:semiHidden w:val="1"/>
    <w:unhideWhenUsed w:val="1"/>
    <w:rsid w:val="001C1B28"/>
    <w:rPr>
      <w:b w:val="1"/>
      <w:bCs w:val="1"/>
    </w:rPr>
  </w:style>
  <w:style w:type="character" w:styleId="AsuntodelcomentarioCar" w:customStyle="1">
    <w:name w:val="Asunto del comentario Car"/>
    <w:basedOn w:val="TextocomentarioCar"/>
    <w:link w:val="Asuntodelcomentario"/>
    <w:uiPriority w:val="99"/>
    <w:semiHidden w:val="1"/>
    <w:rsid w:val="001C1B28"/>
    <w:rPr>
      <w:rFonts w:ascii="Calibri" w:cs="Calibri" w:eastAsia="Calibri" w:hAnsi="Calibri"/>
      <w:b w:val="1"/>
      <w:bCs w:val="1"/>
      <w:sz w:val="20"/>
      <w:szCs w:val="20"/>
      <w:lang w:eastAsia="es-MX"/>
    </w:rPr>
  </w:style>
  <w:style w:type="paragraph" w:styleId="Textodeglobo">
    <w:name w:val="Balloon Text"/>
    <w:basedOn w:val="Normal"/>
    <w:link w:val="TextodegloboCar"/>
    <w:uiPriority w:val="99"/>
    <w:semiHidden w:val="1"/>
    <w:unhideWhenUsed w:val="1"/>
    <w:rsid w:val="001C1B2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C1B28"/>
    <w:rPr>
      <w:rFonts w:ascii="Tahoma" w:cs="Tahoma" w:eastAsia="Calibri" w:hAnsi="Tahoma"/>
      <w:sz w:val="16"/>
      <w:szCs w:val="16"/>
      <w:lang w:eastAsia="es-MX"/>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9B3A2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zRJ6ghj6w93yFypXZJw/BD0iDw==">AMUW2mXNbcY3edcXiN0xSY+XM1iTapb51RuS0ZbHwMTQl2ISVsTHHYN+yIMEYnzK2avnlU/hZH01nZJsG2/M4vBJ3BRHD0fWiy/w0dEopHDnR8NScxOzSzjWqGbwY4Cqe+OQu8FpTXil6W08kqxNrrAywb5hur5mmPYbU1W6mvhOmMZyoi4wtaY=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2023-03-10T19:53:00Z</dcterms:created>
  <dc:creator>USER</dc:creator>
</cp:coreProperties>
</file>