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6" w:line="240" w:lineRule="auto"/>
        <w:ind w:right="19"/>
        <w:jc w:val="center"/>
        <w:rPr>
          <w:rFonts w:ascii="Palatino Linotype" w:cs="Palatino Linotype" w:eastAsia="Palatino Linotype" w:hAnsi="Palatino Linotype"/>
          <w:b w:val="1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Orden del día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498"/>
        </w:tabs>
        <w:spacing w:before="197" w:line="240" w:lineRule="auto"/>
        <w:ind w:right="19"/>
        <w:jc w:val="center"/>
        <w:rPr>
          <w:rFonts w:ascii="Palatino Linotype" w:cs="Palatino Linotype" w:eastAsia="Palatino Linotype" w:hAnsi="Palatino Linotype"/>
          <w:b w:val="1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Segunda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 Sesión Ordinaria de la Comisión de Transparencia y Acceso a la Información Pública 2022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ind w:right="115"/>
        <w:jc w:val="center"/>
        <w:rPr>
          <w:rFonts w:ascii="Palatino Linotype" w:cs="Palatino Linotype" w:eastAsia="Palatino Linotype" w:hAnsi="Palatino Linotype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Lista de asistencia y declaración del Quórum legal.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Lectura y en su caso aprobación del Orden del Día.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Lectura, discusión y, en su caso, aprobación del Acta de la Primera Sesión Ordinaria de Comisión de Transparencia y Acceso a la Información Pública del 16 de marzo de 2022.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Presentación, discusión y en su caso aprobación de los Criterios para que los sujetos obligados garanticen las condiciones de accesibilidad a fin de que los grupos vulnerables puedan ejercer, en igualdad de circunstancias, sus derechos de acceso a la información pública y protección de datos personales.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Presentación, discusión y en su caso aprobación de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la Estrategia para la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 implementación del Modelo Regional de Transparencia Municipal.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Presentación, discusión y en su caso aprobación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Lineamientos para la instalación y funcionamiento de los Comités de Transparencia de los Sujetos Obligados.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Seguimiento de Acuerdos.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Asuntos Generales.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firstLine="0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142.00000000000003"/>
        <w:jc w:val="both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rtl w:val="0"/>
        </w:rPr>
        <w:t xml:space="preserve">Clausura de la sesión. </w:t>
      </w:r>
    </w:p>
    <w:sectPr>
      <w:headerReference r:id="rId7" w:type="default"/>
      <w:pgSz w:h="15840" w:w="12240" w:orient="portrait"/>
      <w:pgMar w:bottom="1584" w:top="1594" w:left="1308" w:right="141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-830577</wp:posOffset>
          </wp:positionH>
          <wp:positionV relativeFrom="paragraph">
            <wp:posOffset>-45508</wp:posOffset>
          </wp:positionV>
          <wp:extent cx="7756263" cy="10101221"/>
          <wp:effectExtent b="0" l="0" r="0" t="0"/>
          <wp:wrapNone/>
          <wp:docPr id="2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263" cy="101012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101600</wp:posOffset>
              </wp:positionV>
              <wp:extent cx="4626610" cy="1423670"/>
              <wp:effectExtent b="0" l="0" r="0" t="0"/>
              <wp:wrapNone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42220" y="3077690"/>
                        <a:ext cx="4607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192.0000076293945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“2022. Año del Quincentenario de Toluca, Capital del Estado de México”.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101600</wp:posOffset>
              </wp:positionV>
              <wp:extent cx="4626610" cy="1423670"/>
              <wp:effectExtent b="0" l="0" r="0" t="0"/>
              <wp:wrapNone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6610" cy="142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001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721" w:hanging="360"/>
      </w:pPr>
      <w:rPr/>
    </w:lvl>
    <w:lvl w:ilvl="2">
      <w:start w:val="1"/>
      <w:numFmt w:val="lowerRoman"/>
      <w:lvlText w:val="%3."/>
      <w:lvlJc w:val="right"/>
      <w:pPr>
        <w:ind w:left="2441" w:hanging="180"/>
      </w:pPr>
      <w:rPr/>
    </w:lvl>
    <w:lvl w:ilvl="3">
      <w:start w:val="1"/>
      <w:numFmt w:val="decimal"/>
      <w:lvlText w:val="%4."/>
      <w:lvlJc w:val="left"/>
      <w:pPr>
        <w:ind w:left="3161" w:hanging="360"/>
      </w:pPr>
      <w:rPr/>
    </w:lvl>
    <w:lvl w:ilvl="4">
      <w:start w:val="1"/>
      <w:numFmt w:val="lowerLetter"/>
      <w:lvlText w:val="%5."/>
      <w:lvlJc w:val="left"/>
      <w:pPr>
        <w:ind w:left="3881" w:hanging="360"/>
      </w:pPr>
      <w:rPr/>
    </w:lvl>
    <w:lvl w:ilvl="5">
      <w:start w:val="1"/>
      <w:numFmt w:val="lowerRoman"/>
      <w:lvlText w:val="%6."/>
      <w:lvlJc w:val="right"/>
      <w:pPr>
        <w:ind w:left="4601" w:hanging="180"/>
      </w:pPr>
      <w:rPr/>
    </w:lvl>
    <w:lvl w:ilvl="6">
      <w:start w:val="1"/>
      <w:numFmt w:val="decimal"/>
      <w:lvlText w:val="%7."/>
      <w:lvlJc w:val="left"/>
      <w:pPr>
        <w:ind w:left="5321" w:hanging="360"/>
      </w:pPr>
      <w:rPr/>
    </w:lvl>
    <w:lvl w:ilvl="7">
      <w:start w:val="1"/>
      <w:numFmt w:val="lowerLetter"/>
      <w:lvlText w:val="%8."/>
      <w:lvlJc w:val="left"/>
      <w:pPr>
        <w:ind w:left="6041" w:hanging="360"/>
      </w:pPr>
      <w:rPr/>
    </w:lvl>
    <w:lvl w:ilvl="8">
      <w:start w:val="1"/>
      <w:numFmt w:val="lowerRoman"/>
      <w:lvlText w:val="%9."/>
      <w:lvlJc w:val="right"/>
      <w:pPr>
        <w:ind w:left="676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D21B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1BE7"/>
  </w:style>
  <w:style w:type="paragraph" w:styleId="Piedepgina">
    <w:name w:val="footer"/>
    <w:basedOn w:val="Normal"/>
    <w:link w:val="PiedepginaCar"/>
    <w:uiPriority w:val="99"/>
    <w:unhideWhenUsed w:val="1"/>
    <w:rsid w:val="00D21B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1BE7"/>
  </w:style>
  <w:style w:type="paragraph" w:styleId="Prrafodelista">
    <w:name w:val="List Paragraph"/>
    <w:basedOn w:val="Normal"/>
    <w:uiPriority w:val="34"/>
    <w:qFormat w:val="1"/>
    <w:rsid w:val="00D21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27B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4rDY/zwFKvUP6FxWvzvJ8p43NQ==">AMUW2mUqQ3u+yhJR/84cGx52jRwvPOQ/HXXYAraVWNS1Dw+vDgXcyRkYZqcE9CnCOz3aDpwwIteWEQteGMmtQ7S6zUdMhXWv0Z9QFkc+bBfIYIZizAQk8w03f6CbprZbIYkGudvKVxPP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2022-07-04T22:42:00Z</dcterms:created>
  <dc:creator>fany vieyra</dc:creator>
</cp:coreProperties>
</file>