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45"/>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VISTAS</w:t>
      </w:r>
      <w:r w:rsidDel="00000000" w:rsidR="00000000" w:rsidRPr="00000000">
        <w:rPr>
          <w:rFonts w:ascii="Palatino Linotype" w:cs="Palatino Linotype" w:eastAsia="Palatino Linotype" w:hAnsi="Palatino Linotype"/>
          <w:rtl w:val="0"/>
        </w:rPr>
        <w:t xml:space="preserve"> las constancias para determinar el </w:t>
      </w:r>
      <w:r w:rsidDel="00000000" w:rsidR="00000000" w:rsidRPr="00000000">
        <w:rPr>
          <w:rFonts w:ascii="Palatino Linotype" w:cs="Palatino Linotype" w:eastAsia="Palatino Linotype" w:hAnsi="Palatino Linotype"/>
          <w:b w:val="1"/>
          <w:rtl w:val="0"/>
        </w:rPr>
        <w:t xml:space="preserve">C</w:t>
      </w:r>
      <w:r w:rsidDel="00000000" w:rsidR="00000000" w:rsidRPr="00000000">
        <w:rPr>
          <w:rFonts w:ascii="Palatino Linotype" w:cs="Palatino Linotype" w:eastAsia="Palatino Linotype" w:hAnsi="Palatino Linotype"/>
          <w:b w:val="1"/>
          <w:rtl w:val="0"/>
        </w:rPr>
        <w:t xml:space="preserve">atálogo de información adicional que deberán publicar los Sujetos Obligados por considerarse de interés público correspondiente</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b w:val="1"/>
          <w:rtl w:val="0"/>
        </w:rPr>
        <w:t xml:space="preserve">al</w:t>
      </w:r>
      <w:r w:rsidDel="00000000" w:rsidR="00000000" w:rsidRPr="00000000">
        <w:rPr>
          <w:rFonts w:ascii="Palatino Linotype" w:cs="Palatino Linotype" w:eastAsia="Palatino Linotype" w:hAnsi="Palatino Linotype"/>
          <w:b w:val="1"/>
          <w:color w:val="000000"/>
          <w:rtl w:val="0"/>
        </w:rPr>
        <w:t xml:space="preserve"> ejercicio 202</w:t>
      </w:r>
      <w:r w:rsidDel="00000000" w:rsidR="00000000" w:rsidRPr="00000000">
        <w:rPr>
          <w:rFonts w:ascii="Palatino Linotype" w:cs="Palatino Linotype" w:eastAsia="Palatino Linotype" w:hAnsi="Palatino Linotype"/>
          <w:b w:val="1"/>
          <w:rtl w:val="0"/>
        </w:rPr>
        <w:t xml:space="preserve">2</w:t>
      </w:r>
      <w:r w:rsidDel="00000000" w:rsidR="00000000" w:rsidRPr="00000000">
        <w:rPr>
          <w:rFonts w:ascii="Palatino Linotype" w:cs="Palatino Linotype" w:eastAsia="Palatino Linotype" w:hAnsi="Palatino Linotype"/>
          <w:rtl w:val="0"/>
        </w:rPr>
        <w:t xml:space="preserve">, se procede a emitir el presente dictamen en razón de los siguientes:</w:t>
      </w:r>
    </w:p>
    <w:p w:rsidR="00000000" w:rsidDel="00000000" w:rsidP="00000000" w:rsidRDefault="00000000" w:rsidRPr="00000000" w14:paraId="00000002">
      <w:pPr>
        <w:spacing w:line="276" w:lineRule="auto"/>
        <w:ind w:right="46"/>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CONSIDERANDOS</w:t>
      </w:r>
    </w:p>
    <w:p w:rsidR="00000000" w:rsidDel="00000000" w:rsidP="00000000" w:rsidRDefault="00000000" w:rsidRPr="00000000" w14:paraId="00000003">
      <w:pPr>
        <w:spacing w:after="0" w:line="276" w:lineRule="auto"/>
        <w:ind w:right="-79.133858267715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Instituto de Transparencia, Acceso a la Información Pública y Protección de Datos Personales del Estado de México y Municipios (Infoem), de conformidad con los artículos 6, apartado A, fracción VIII y 116, fracción VIII de la Constitución Política de los Estados Unidos Mexicanos; 5, párrafos trigésimo, trigésimo primero, trigésimo segundo, fracción VIII de la Constitución Política del Estado Libre y Soberano de México, y 29 de la Ley de Transparencia y Acceso a la Información Pública del Estado de México y Municipios (Ley de Transparencia Local),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de garantizar el ejercicio de los derechos de acceso a la información pública y la protección de datos personales en posesión de los Sujetos Obligados.</w:t>
      </w:r>
    </w:p>
    <w:p w:rsidR="00000000" w:rsidDel="00000000" w:rsidP="00000000" w:rsidRDefault="00000000" w:rsidRPr="00000000" w14:paraId="00000004">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de conformidad con su artículo Quinto Transitorio. </w:t>
      </w:r>
    </w:p>
    <w:p w:rsidR="00000000" w:rsidDel="00000000" w:rsidP="00000000" w:rsidRDefault="00000000" w:rsidRPr="00000000" w14:paraId="00000005">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la Ley de Transparencia Local, en su artículo 92 establece las obligaciones de transparencia comunes con las que deben cumplir todos los Sujetos Obligados, dentro de las cuales, se encuentra la prevista en la fracción LII, misma que indica que se deberá publicar cualquier otra información que sea de utilidad o se considere relevante, además de la que, con base en la información estadística, responda a las preguntas hechas con más frecuencia por el público, aunado a que deben publicar dicha información con base en los formatos específicos para la fracción XLVIII del artículo 70 de la Ley General, establecidos en el Anexo XIII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 el objetivo de asegurar que la organización, presentación y publicación de la información garantice su homologación y estandarización.</w:t>
      </w:r>
    </w:p>
    <w:p w:rsidR="00000000" w:rsidDel="00000000" w:rsidP="00000000" w:rsidRDefault="00000000" w:rsidRPr="00000000" w14:paraId="00000006">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para establecer las directrices que deben observarse para identificar la información adicional que se publicará de manera obligatoria por considerarse de interés público, el 15 de abril de 2016, se publicó en el Diario Oficial de la Federación, los Lineamientos para determinar los Catálogos y Publicación de Información de Interés Público; y para la emisión y evaluación de Políticas de Transparencia Proactiva (Lineamientos de Interés Público), mismos que fueron modificados el  21 de febrero de 2018.</w:t>
      </w:r>
    </w:p>
    <w:p w:rsidR="00000000" w:rsidDel="00000000" w:rsidP="00000000" w:rsidRDefault="00000000" w:rsidRPr="00000000" w14:paraId="00000007">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30 de enero de 2020, fue publicado en la página Institucional el “Acuerdo mediante el cual el Pleno del Instituto de Transparencia, Acceso a la Información Pública y Protección de Datos Personales del Estado de México y Municipios aprueba los Lineamientos para establecer el procedimiento de identificación y revisión de la información adicional que publicarán los Sujetos Obligados de manera obligatoria por considerarse de interés público” </w:t>
      </w:r>
      <w:r w:rsidDel="00000000" w:rsidR="00000000" w:rsidRPr="00000000">
        <w:rPr>
          <w:rFonts w:ascii="Palatino Linotype" w:cs="Palatino Linotype" w:eastAsia="Palatino Linotype" w:hAnsi="Palatino Linotype"/>
          <w:rtl w:val="0"/>
        </w:rPr>
        <w:t xml:space="preserve">(Lineamientos de Interés Público del Infoem)</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8">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conforme a lo dispuesto en el numeral 103 de la Ley de Transparencia Local, el Infoem deberá solicitar a los Sujetos Obligados que remitan el listado de información que consideren de interés público, a fin de que se pueda determinar el catálogo de información que cada Sujeto Obligado deberá de publicar como obligación de transparencia adicional, atendiendo a los Lineamientos de interés Público y a los emitidos  por el propio Instituto.</w:t>
      </w:r>
    </w:p>
    <w:p w:rsidR="00000000" w:rsidDel="00000000" w:rsidP="00000000" w:rsidRDefault="00000000" w:rsidRPr="00000000" w14:paraId="00000009">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17 de enero de 2022, la Dirección General de Transparencia, Acceso a la Información Pública y Gobierno Abierto (Dirección General de Transparencia), solicitó mediante correo electrónico a los </w:t>
      </w:r>
      <w:r w:rsidDel="00000000" w:rsidR="00000000" w:rsidRPr="00000000">
        <w:rPr>
          <w:rFonts w:ascii="Palatino Linotype" w:cs="Palatino Linotype" w:eastAsia="Palatino Linotype" w:hAnsi="Palatino Linotype"/>
          <w:rtl w:val="0"/>
        </w:rPr>
        <w:t xml:space="preserve">Sujetos Obligados,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rtl w:val="0"/>
        </w:rPr>
        <w:t xml:space="preserve">con fundamento en los</w:t>
      </w:r>
      <w:r w:rsidDel="00000000" w:rsidR="00000000" w:rsidRPr="00000000">
        <w:rPr>
          <w:rFonts w:ascii="Palatino Linotype" w:cs="Palatino Linotype" w:eastAsia="Palatino Linotype" w:hAnsi="Palatino Linotype"/>
          <w:rtl w:val="0"/>
        </w:rPr>
        <w:t xml:space="preserve"> Lineamientos de interés público del Infoem, remitir en un término de 10 días hábiles, el listado de información que se considere de interés público.</w:t>
      </w:r>
    </w:p>
    <w:p w:rsidR="00000000" w:rsidDel="00000000" w:rsidP="00000000" w:rsidRDefault="00000000" w:rsidRPr="00000000" w14:paraId="0000000A">
      <w:pPr>
        <w:spacing w:after="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 el día 26 de enero de 2022, la Dirección General de Transparencia, a través de los enlaces asignados para ello,  realizó un atento recordatorio a los Sujetos Obligados que no habían remitido hasta ese día, el listado de información que consideren de interés público, lo anterior, a fin de dar cumplimiento con el requerimiento realizado conforme a los términos de Ley.</w:t>
      </w:r>
    </w:p>
    <w:p w:rsidR="00000000" w:rsidDel="00000000" w:rsidP="00000000" w:rsidRDefault="00000000" w:rsidRPr="00000000" w14:paraId="0000000B">
      <w:pPr>
        <w:spacing w:after="0" w:before="240" w:line="276" w:lineRule="auto"/>
        <w:jc w:val="both"/>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rtl w:val="0"/>
        </w:rPr>
        <w:t xml:space="preserve">Que el día 1 de febrero de 2022, la Dirección General de Transparencia, inició con el análisis a la información remitida por parte de los Sujetos Obligados a fin de poder estar en posibilidad de integrar el </w:t>
      </w:r>
      <w:r w:rsidDel="00000000" w:rsidR="00000000" w:rsidRPr="00000000">
        <w:rPr>
          <w:rFonts w:ascii="Palatino Linotype" w:cs="Palatino Linotype" w:eastAsia="Palatino Linotype" w:hAnsi="Palatino Linotype"/>
          <w:rtl w:val="0"/>
        </w:rPr>
        <w:t xml:space="preserve">Catálogo</w:t>
      </w:r>
      <w:r w:rsidDel="00000000" w:rsidR="00000000" w:rsidRPr="00000000">
        <w:rPr>
          <w:rFonts w:ascii="Palatino Linotype" w:cs="Palatino Linotype" w:eastAsia="Palatino Linotype" w:hAnsi="Palatino Linotype"/>
          <w:rtl w:val="0"/>
        </w:rPr>
        <w:t xml:space="preserve"> de Información de Interés público que deben publicar para el 2022 los Sujetos Obligados. </w:t>
      </w:r>
      <w:r w:rsidDel="00000000" w:rsidR="00000000" w:rsidRPr="00000000">
        <w:rPr>
          <w:rtl w:val="0"/>
        </w:rPr>
      </w:r>
    </w:p>
    <w:p w:rsidR="00000000" w:rsidDel="00000000" w:rsidP="00000000" w:rsidRDefault="00000000" w:rsidRPr="00000000" w14:paraId="0000000C">
      <w:pPr>
        <w:spacing w:after="0" w:before="240" w:line="276" w:lineRule="auto"/>
        <w:jc w:val="both"/>
        <w:rPr>
          <w:rFonts w:ascii="Palatino Linotype" w:cs="Palatino Linotype" w:eastAsia="Palatino Linotype" w:hAnsi="Palatino Linotype"/>
          <w:highlight w:val="yellow"/>
        </w:rPr>
      </w:pPr>
      <w:r w:rsidDel="00000000" w:rsidR="00000000" w:rsidRPr="00000000">
        <w:rPr>
          <w:rtl w:val="0"/>
        </w:rPr>
      </w:r>
    </w:p>
    <w:p w:rsidR="00000000" w:rsidDel="00000000" w:rsidP="00000000" w:rsidRDefault="00000000" w:rsidRPr="00000000" w14:paraId="0000000D">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ATRIBUCIÓN</w:t>
      </w:r>
      <w:r w:rsidDel="00000000" w:rsidR="00000000" w:rsidRPr="00000000">
        <w:rPr>
          <w:rFonts w:ascii="Palatino Linotype" w:cs="Palatino Linotype" w:eastAsia="Palatino Linotype" w:hAnsi="Palatino Linotype"/>
          <w:rtl w:val="0"/>
        </w:rPr>
        <w:t xml:space="preserve">: Que la Dirección G</w:t>
      </w:r>
      <w:r w:rsidDel="00000000" w:rsidR="00000000" w:rsidRPr="00000000">
        <w:rPr>
          <w:rFonts w:ascii="Palatino Linotype" w:cs="Palatino Linotype" w:eastAsia="Palatino Linotype" w:hAnsi="Palatino Linotype"/>
          <w:rtl w:val="0"/>
        </w:rPr>
        <w:t xml:space="preserve">eneral de Transparencia,</w:t>
      </w:r>
      <w:r w:rsidDel="00000000" w:rsidR="00000000" w:rsidRPr="00000000">
        <w:rPr>
          <w:rFonts w:ascii="Palatino Linotype" w:cs="Palatino Linotype" w:eastAsia="Palatino Linotype" w:hAnsi="Palatino Linotype"/>
          <w:rtl w:val="0"/>
        </w:rPr>
        <w:t xml:space="preserve"> tiene la atribución para llevar a cabo el procedimiento correspondiente para determinar los catálogos de información adicional que deberán publicar los Sujetos Obligados, por considerarse de Interés Público, el presente dictamen en el que se analiza el listado de información de interés público que remitieron los Sujetos Obligados en materia de su competencia, a efecto de que el Pleno de este Instituto </w:t>
      </w:r>
      <w:r w:rsidDel="00000000" w:rsidR="00000000" w:rsidRPr="00000000">
        <w:rPr>
          <w:rFonts w:ascii="Palatino Linotype" w:cs="Palatino Linotype" w:eastAsia="Palatino Linotype" w:hAnsi="Palatino Linotype"/>
          <w:rtl w:val="0"/>
        </w:rPr>
        <w:t xml:space="preserve">determine </w:t>
      </w:r>
      <w:r w:rsidDel="00000000" w:rsidR="00000000" w:rsidRPr="00000000">
        <w:rPr>
          <w:rFonts w:ascii="Palatino Linotype" w:cs="Palatino Linotype" w:eastAsia="Palatino Linotype" w:hAnsi="Palatino Linotype"/>
          <w:rtl w:val="0"/>
        </w:rPr>
        <w:t xml:space="preserve">el catálogo que cada uno de éstos habrá de publicar como obligación de transparencia, de conformidad con lo dispuesto en los artículos 80 de la Ley General de Transparencia y Acceso a la Información Pública; </w:t>
      </w:r>
      <w:r w:rsidDel="00000000" w:rsidR="00000000" w:rsidRPr="00000000">
        <w:rPr>
          <w:rFonts w:ascii="Palatino Linotype" w:cs="Palatino Linotype" w:eastAsia="Palatino Linotype" w:hAnsi="Palatino Linotype"/>
          <w:color w:val="000000"/>
          <w:highlight w:val="white"/>
          <w:rtl w:val="0"/>
        </w:rPr>
        <w:t xml:space="preserve">92, </w:t>
      </w:r>
      <w:r w:rsidDel="00000000" w:rsidR="00000000" w:rsidRPr="00000000">
        <w:rPr>
          <w:rFonts w:ascii="Palatino Linotype" w:cs="Palatino Linotype" w:eastAsia="Palatino Linotype" w:hAnsi="Palatino Linotype"/>
          <w:rtl w:val="0"/>
        </w:rPr>
        <w:t xml:space="preserve">fracción LII, 103 de </w:t>
      </w:r>
      <w:r w:rsidDel="00000000" w:rsidR="00000000" w:rsidRPr="00000000">
        <w:rPr>
          <w:rFonts w:ascii="Palatino Linotype" w:cs="Palatino Linotype" w:eastAsia="Palatino Linotype" w:hAnsi="Palatino Linotype"/>
          <w:color w:val="000000"/>
          <w:highlight w:val="white"/>
          <w:rtl w:val="0"/>
        </w:rPr>
        <w:t xml:space="preserve">la Ley de Transparencia Local</w:t>
      </w:r>
      <w:r w:rsidDel="00000000" w:rsidR="00000000" w:rsidRPr="00000000">
        <w:rPr>
          <w:rFonts w:ascii="Palatino Linotype" w:cs="Palatino Linotype" w:eastAsia="Palatino Linotype" w:hAnsi="Palatino Linotype"/>
          <w:highlight w:val="white"/>
          <w:rtl w:val="0"/>
        </w:rPr>
        <w:t xml:space="preserve">,</w:t>
      </w:r>
      <w:r w:rsidDel="00000000" w:rsidR="00000000" w:rsidRPr="00000000">
        <w:rPr>
          <w:rFonts w:ascii="Palatino Linotype" w:cs="Palatino Linotype" w:eastAsia="Palatino Linotype" w:hAnsi="Palatino Linotype"/>
          <w:rtl w:val="0"/>
        </w:rPr>
        <w:t xml:space="preserve"> artículo 25 fracción XII del Reglamento Interior del Instituto de Transparencia, Acceso a la Información Pública y Protección de Datos Personales del Estado de México y Municipios, y los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Lineamientos para establecer el Procedimiento de identificación y revisión de la información adicional que publicarán los Sujetos Obligados de manera obligatoria por considerarse de interés público.</w:t>
      </w:r>
    </w:p>
    <w:p w:rsidR="00000000" w:rsidDel="00000000" w:rsidP="00000000" w:rsidRDefault="00000000" w:rsidRPr="00000000" w14:paraId="0000000E">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spacing w:after="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w:t>
      </w:r>
      <w:r w:rsidDel="00000000" w:rsidR="00000000" w:rsidRPr="00000000">
        <w:rPr>
          <w:rFonts w:ascii="Palatino Linotype" w:cs="Palatino Linotype" w:eastAsia="Palatino Linotype" w:hAnsi="Palatino Linotype"/>
          <w:b w:val="1"/>
          <w:rtl w:val="0"/>
        </w:rPr>
        <w:t xml:space="preserve">FUNDAMENTACIÓN:</w:t>
      </w:r>
      <w:r w:rsidDel="00000000" w:rsidR="00000000" w:rsidRPr="00000000">
        <w:rPr>
          <w:rFonts w:ascii="Palatino Linotype" w:cs="Palatino Linotype" w:eastAsia="Palatino Linotype" w:hAnsi="Palatino Linotype"/>
          <w:rtl w:val="0"/>
        </w:rPr>
        <w:t xml:space="preserve"> Que de conformidad con el artículo  103 de la Ley de Transparencia Local y en relación con lo previsto en los </w:t>
      </w:r>
      <w:r w:rsidDel="00000000" w:rsidR="00000000" w:rsidRPr="00000000">
        <w:rPr>
          <w:rFonts w:ascii="Palatino Linotype" w:cs="Palatino Linotype" w:eastAsia="Palatino Linotype" w:hAnsi="Palatino Linotype"/>
          <w:rtl w:val="0"/>
        </w:rPr>
        <w:t xml:space="preserve">Anexos I</w:t>
      </w:r>
      <w:r w:rsidDel="00000000" w:rsidR="00000000" w:rsidRPr="00000000">
        <w:rPr>
          <w:rFonts w:ascii="Palatino Linotype" w:cs="Palatino Linotype" w:eastAsia="Palatino Linotype" w:hAnsi="Palatino Linotype"/>
          <w:rtl w:val="0"/>
        </w:rPr>
        <w:t xml:space="preserve"> y XIII de los Lineamientos Técnicos Generales, así como los numerales Séptimo, Octavo, Noveno Décimo, Décimo primero, Décimo segundo y Décimo tercero de los Lineamientos de interés público, además de los Lineamientos emitidos por el Infoem, por lo que es procedente emitir el presente dictamen para determinar el catálogo de información de interés público, a efecto de ser sometido al Pleno de este Instituto para que, una vez analizado, se determine lo procedente. </w:t>
      </w:r>
    </w:p>
    <w:p w:rsidR="00000000" w:rsidDel="00000000" w:rsidP="00000000" w:rsidRDefault="00000000" w:rsidRPr="00000000" w14:paraId="00000010">
      <w:pPr>
        <w:spacing w:after="0"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1">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w:t>
      </w:r>
      <w:r w:rsidDel="00000000" w:rsidR="00000000" w:rsidRPr="00000000">
        <w:rPr>
          <w:rFonts w:ascii="Palatino Linotype" w:cs="Palatino Linotype" w:eastAsia="Palatino Linotype" w:hAnsi="Palatino Linotype"/>
          <w:b w:val="1"/>
          <w:rtl w:val="0"/>
        </w:rPr>
        <w:t xml:space="preserve"> MOTIVACIÓN</w:t>
      </w:r>
      <w:r w:rsidDel="00000000" w:rsidR="00000000" w:rsidRPr="00000000">
        <w:rPr>
          <w:rFonts w:ascii="Palatino Linotype" w:cs="Palatino Linotype" w:eastAsia="Palatino Linotype" w:hAnsi="Palatino Linotype"/>
          <w:rtl w:val="0"/>
        </w:rPr>
        <w:t xml:space="preserve">: Que el artículo 103 de la Ley de Transparencia Local, establece lo siguiente:</w:t>
      </w:r>
    </w:p>
    <w:p w:rsidR="00000000" w:rsidDel="00000000" w:rsidP="00000000" w:rsidRDefault="00000000" w:rsidRPr="00000000" w14:paraId="00000012">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3">
      <w:pPr>
        <w:spacing w:line="276" w:lineRule="auto"/>
        <w:ind w:left="992.12598425196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b w:val="1"/>
          <w:i w:val="1"/>
          <w:rtl w:val="0"/>
        </w:rPr>
        <w:t xml:space="preserve">Artículo 103</w:t>
      </w:r>
      <w:r w:rsidDel="00000000" w:rsidR="00000000" w:rsidRPr="00000000">
        <w:rPr>
          <w:rFonts w:ascii="Palatino Linotype" w:cs="Palatino Linotype" w:eastAsia="Palatino Linotype" w:hAnsi="Palatino Linotype"/>
          <w:i w:val="1"/>
          <w:rtl w:val="0"/>
        </w:rPr>
        <w:t xml:space="preserve">. Para determinar la información adicional que publicarán todos los sujetos obligados de manera obligatoria, el Instituto deberá:</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Solicitar a los sujetos obligados que, atendiendo a los lineamientos emitidos por el Sistema Nacional, </w:t>
      </w:r>
      <w:r w:rsidDel="00000000" w:rsidR="00000000" w:rsidRPr="00000000">
        <w:rPr>
          <w:rFonts w:ascii="Palatino Linotype" w:cs="Palatino Linotype" w:eastAsia="Palatino Linotype" w:hAnsi="Palatino Linotype"/>
          <w:i w:val="1"/>
          <w:rtl w:val="0"/>
        </w:rPr>
        <w:t xml:space="preserve">remita</w:t>
      </w:r>
      <w:r w:rsidDel="00000000" w:rsidR="00000000" w:rsidRPr="00000000">
        <w:rPr>
          <w:rFonts w:ascii="Palatino Linotype" w:cs="Palatino Linotype" w:eastAsia="Palatino Linotype" w:hAnsi="Palatino Linotype"/>
          <w:i w:val="1"/>
          <w:color w:val="000000"/>
          <w:rtl w:val="0"/>
        </w:rPr>
        <w:t xml:space="preserve"> el listado de información que consideren de interés público;</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Revisar el listado que remitió el sujeto obligado con base en las funciones, atribuciones y competencias que la normatividad aplicable le otorgue, y </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276" w:lineRule="auto"/>
        <w:ind w:left="992.1259842519685"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Determinar el catálogo de información que el sujeto obligado deberá publicar como obligación de transparencia.” (Sic)</w:t>
      </w:r>
    </w:p>
    <w:p w:rsidR="00000000" w:rsidDel="00000000" w:rsidP="00000000" w:rsidRDefault="00000000" w:rsidRPr="00000000" w14:paraId="00000017">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los Lineamientos para establecer el procedimiento de identificación y revisión de la información adicional que publicarán los Sujetos Obligados de manera obligatoria por considerarse de interés público, señalan lo siguiente: </w:t>
      </w:r>
    </w:p>
    <w:p w:rsidR="00000000" w:rsidDel="00000000" w:rsidP="00000000" w:rsidRDefault="00000000" w:rsidRPr="00000000" w14:paraId="00000018">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w:t>
      </w:r>
      <w:r w:rsidDel="00000000" w:rsidR="00000000" w:rsidRPr="00000000">
        <w:rPr>
          <w:rFonts w:ascii="Palatino Linotype" w:cs="Palatino Linotype" w:eastAsia="Palatino Linotype" w:hAnsi="Palatino Linotype"/>
          <w:i w:val="1"/>
          <w:rtl w:val="0"/>
        </w:rPr>
        <w:t xml:space="preserve"> Además de las definiciones establecidas en la Ley de Transparencia y Acceso a la Información Pública del Estado de México y Municipios y el Reglamento Interior del Instituto de Transparencia, Acceso a la Información Pública y Protección de Datos Personales Estado de México y Municipios, para efectos de los presentes lineamientos se entenderá por:</w:t>
      </w:r>
    </w:p>
    <w:p w:rsidR="00000000" w:rsidDel="00000000" w:rsidP="00000000" w:rsidRDefault="00000000" w:rsidRPr="00000000" w14:paraId="00000019">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A">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Catálogo: Es el instrumento que relaciona la información que el Instituto de Transparencia, Acceso a la Información Pública y Protección de Datos Personales del Estado de México y Municipios, con base en el listado de información remitida por los Sujetos Obligados, determinan como obligación de transparencia por considerarse de interés público y que contiene al menos: temática, descripción, periodo temporal comprendido y unidad administrativa responsable de su custodia;</w:t>
      </w:r>
    </w:p>
    <w:p w:rsidR="00000000" w:rsidDel="00000000" w:rsidP="00000000" w:rsidRDefault="00000000" w:rsidRPr="00000000" w14:paraId="0000001B">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1C">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D">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Información de Interés Público: Aquella que resulta relevante o beneficiosa para la sociedad y no simplemente de interés individual, cuya divulgación resulta útil para que el público comprenda las actividades que llevan a cabo los Sujetos Obligados;</w:t>
      </w:r>
    </w:p>
    <w:p w:rsidR="00000000" w:rsidDel="00000000" w:rsidP="00000000" w:rsidRDefault="00000000" w:rsidRPr="00000000" w14:paraId="0000001E">
      <w:pP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Listado: La información que los Sujetos Obligados remiten al Infoem para su revisión,</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850.393700787401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considerarse de interés público;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ind w:left="850.393700787401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 (Sic)</w:t>
      </w:r>
      <w:r w:rsidDel="00000000" w:rsidR="00000000" w:rsidRPr="00000000">
        <w:rPr>
          <w:rtl w:val="0"/>
        </w:rPr>
      </w:r>
    </w:p>
    <w:p w:rsidR="00000000" w:rsidDel="00000000" w:rsidP="00000000" w:rsidRDefault="00000000" w:rsidRPr="00000000" w14:paraId="00000022">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se desprende de la normativa antes citada, y de conformidad con el artículo 103 de la Ley de Transparencia Local, para determinar la información adicional que publicarán los Sujetos Obligados, el Instituto deberá solicitar que, atendiendo a los Lineamientos emitidos por el Pleno del Infoem, los Sujetos Obligados remitirán el listado de información que consideren de interés público, a fin de que éste sea revisado para determinar el catálogo de información que cada Sujeto Obligado deberá publicar como obligación de transparencia. </w:t>
      </w:r>
    </w:p>
    <w:p w:rsidR="00000000" w:rsidDel="00000000" w:rsidP="00000000" w:rsidRDefault="00000000" w:rsidRPr="00000000" w14:paraId="00000023">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los Lineamientos de interés público tienen por objetivo establecer las bases que deberán observarse en la identificación y revisión de la información adicional que publicarán los Sujetos Obligados de manera obligatoria por considerarse de interés público.</w:t>
      </w:r>
    </w:p>
    <w:p w:rsidR="00000000" w:rsidDel="00000000" w:rsidP="00000000" w:rsidRDefault="00000000" w:rsidRPr="00000000" w14:paraId="00000024">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atención a lo anterior, la Dirección General de Transparencia,</w:t>
      </w:r>
      <w:r w:rsidDel="00000000" w:rsidR="00000000" w:rsidRPr="00000000">
        <w:rPr>
          <w:rFonts w:ascii="Palatino Linotype" w:cs="Palatino Linotype" w:eastAsia="Palatino Linotype" w:hAnsi="Palatino Linotype"/>
          <w:rtl w:val="0"/>
        </w:rPr>
        <w:t xml:space="preserve"> anexó</w:t>
      </w:r>
      <w:r w:rsidDel="00000000" w:rsidR="00000000" w:rsidRPr="00000000">
        <w:rPr>
          <w:rFonts w:ascii="Palatino Linotype" w:cs="Palatino Linotype" w:eastAsia="Palatino Linotype" w:hAnsi="Palatino Linotype"/>
          <w:rtl w:val="0"/>
        </w:rPr>
        <w:t xml:space="preserve"> un formato que </w:t>
      </w:r>
      <w:r w:rsidDel="00000000" w:rsidR="00000000" w:rsidRPr="00000000">
        <w:rPr>
          <w:rFonts w:ascii="Palatino Linotype" w:cs="Palatino Linotype" w:eastAsia="Palatino Linotype" w:hAnsi="Palatino Linotype"/>
          <w:rtl w:val="0"/>
        </w:rPr>
        <w:t xml:space="preserve"> permite a los Sujetos Obligados de una manera eficiente, realizar un listado que cumpla con las variables metodológicas establecidas en los Lineamientos, asimismo, </w:t>
      </w:r>
      <w:r w:rsidDel="00000000" w:rsidR="00000000" w:rsidRPr="00000000">
        <w:rPr>
          <w:rFonts w:ascii="Palatino Linotype" w:cs="Palatino Linotype" w:eastAsia="Palatino Linotype" w:hAnsi="Palatino Linotype"/>
          <w:rtl w:val="0"/>
        </w:rPr>
        <w:t xml:space="preserve">para señalar la información considerada de interés público, esto conforme a lo establecido en los numerales Cuarto y Octavo de los Lineamientos emitidos por el Infoem, los cuales señalan lo siguiente:</w:t>
      </w:r>
    </w:p>
    <w:p w:rsidR="00000000" w:rsidDel="00000000" w:rsidP="00000000" w:rsidRDefault="00000000" w:rsidRPr="00000000" w14:paraId="00000025">
      <w:pPr>
        <w:numPr>
          <w:ilvl w:val="0"/>
          <w:numId w:val="3"/>
        </w:numPr>
        <w:spacing w:after="0" w:line="276" w:lineRule="auto"/>
        <w:ind w:left="1440"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“CUARTO. </w:t>
      </w:r>
      <w:r w:rsidDel="00000000" w:rsidR="00000000" w:rsidRPr="00000000">
        <w:rPr>
          <w:rFonts w:ascii="Palatino Linotype" w:cs="Palatino Linotype" w:eastAsia="Palatino Linotype" w:hAnsi="Palatino Linotype"/>
          <w:i w:val="1"/>
          <w:rtl w:val="0"/>
        </w:rPr>
        <w:t xml:space="preserve">En atención al requerimiento citado en el numeral que antecede, los Sujetos Obligados procederán a identificar la información de interés público, con base, de manera enunciativa más no limitativa, en lo siguiente: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Información que por disposición legal publique el Sujeto Obligado, es decir, que la legislación, o normatividad interna lo obligue a difundirla y que esté relacionada con sus atribuciones, funciones u objeto social;</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La información que ya ha sido publicada y que reviste las características de utilidad y relevancia;</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 Aquella información que sea requerida de manera frecuente relacionados con solicitudes de información pública;</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 La información relevante no solicitada por los particulares, pero que el Sujeto Obligado considere su importancia en relación a su utilidad y relevancia;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 La información que por medio de mecanismos de participación ciudadana se considere como de interés público; y</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 La información que no sea susceptible de clasificarse en los supuestos previstos en la Ley de Transparencia Local.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992.1259842519685"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i w:val="1"/>
          <w:rtl w:val="0"/>
        </w:rPr>
        <w:t xml:space="preserve">(Sic)</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i w:val="1"/>
          <w:color w:val="000000"/>
        </w:rPr>
      </w:pPr>
      <w:r w:rsidDel="00000000" w:rsidR="00000000" w:rsidRPr="00000000">
        <w:rPr>
          <w:rtl w:val="0"/>
        </w:rPr>
      </w:r>
    </w:p>
    <w:p w:rsidR="00000000" w:rsidDel="00000000" w:rsidP="00000000" w:rsidRDefault="00000000" w:rsidRPr="00000000" w14:paraId="0000002F">
      <w:pPr>
        <w:spacing w:after="0" w:line="276" w:lineRule="auto"/>
        <w:ind w:left="855" w:hanging="4.6062992125982305"/>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OCTAVO. </w:t>
      </w:r>
      <w:r w:rsidDel="00000000" w:rsidR="00000000" w:rsidRPr="00000000">
        <w:rPr>
          <w:rFonts w:ascii="Palatino Linotype" w:cs="Palatino Linotype" w:eastAsia="Palatino Linotype" w:hAnsi="Palatino Linotype"/>
          <w:i w:val="1"/>
          <w:rtl w:val="0"/>
        </w:rPr>
        <w:t xml:space="preserve">El Instituto recibirá la información enviada por el Sujeto Obligado y procederá a analizarla a fin de identificar si reúne las características siguientes:</w:t>
      </w:r>
    </w:p>
    <w:p w:rsidR="00000000" w:rsidDel="00000000" w:rsidP="00000000" w:rsidRDefault="00000000" w:rsidRPr="00000000" w14:paraId="00000030">
      <w:pPr>
        <w:spacing w:after="0" w:line="276" w:lineRule="auto"/>
        <w:ind w:left="855" w:hanging="4.6062992125982305"/>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855" w:hanging="4.6062992125982305"/>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Que resulte relevante o beneficiosa para la sociedad, es decir, que en posesión de particulares sirva para fortalecer el ejercicio pleno de sus derechos y contribuya a mejorar su calidad de vida;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855" w:hanging="4.6062992125982305"/>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Que su divulgación resulte útil para que los particulares conozcan y comprendan las actividades que llevan a cabo los Sujetos Obligados;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855" w:hanging="4.6062992125982305"/>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 Que sea información institucional de mayor petición por las personas;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855" w:hanging="4.6062992125982305"/>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 Que complemente pero no duplique información de otro artículo y/o fracción aplicable a los Sujetos Obligados, previsto en el Título Quinto de la Ley de Transparencia Local; 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855" w:hanging="4.6062992125982305"/>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 Que fomente la cultura de la transparencia, propicie la rendición de cuentas a la sociedad y contribuya al combate a la corrupción.” (Sic)</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7">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desprende que los Sujetos Obligados deberán identificar toda la información que por disposición legal publiquen, así como aquella que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reviste las características de utilidad y relevancia y sea solicitada con mayor frecuencia y que por mecanismos de participación ciudadana se considere de interés público y que no sea susceptible de clasificarse en los supuestos previstos en la Ley de Transparencia Local.</w:t>
      </w:r>
    </w:p>
    <w:p w:rsidR="00000000" w:rsidDel="00000000" w:rsidP="00000000" w:rsidRDefault="00000000" w:rsidRPr="00000000" w14:paraId="00000038">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Instituto a través de la Dirección General de Transparencia, recibirá la información remitida por cada uno de los Sujetos Obligados y procederá a su análisis con la finalidad de identificar si la información es relevante o beneficiosa para la sociedad  y si su divulgación resulta útil  para generar una cultura de transparencia y una correcta rendición de cuentas.</w:t>
      </w:r>
    </w:p>
    <w:p w:rsidR="00000000" w:rsidDel="00000000" w:rsidP="00000000" w:rsidRDefault="00000000" w:rsidRPr="00000000" w14:paraId="00000039">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anterior, el presente d</w:t>
      </w:r>
      <w:r w:rsidDel="00000000" w:rsidR="00000000" w:rsidRPr="00000000">
        <w:rPr>
          <w:rFonts w:ascii="Palatino Linotype" w:cs="Palatino Linotype" w:eastAsia="Palatino Linotype" w:hAnsi="Palatino Linotype"/>
          <w:rtl w:val="0"/>
        </w:rPr>
        <w:t xml:space="preserve">ictame</w:t>
      </w:r>
      <w:r w:rsidDel="00000000" w:rsidR="00000000" w:rsidRPr="00000000">
        <w:rPr>
          <w:rFonts w:ascii="Palatino Linotype" w:cs="Palatino Linotype" w:eastAsia="Palatino Linotype" w:hAnsi="Palatino Linotype"/>
          <w:rtl w:val="0"/>
        </w:rPr>
        <w:t xml:space="preserve">n, tiene como finalidad identificar aquellos </w:t>
      </w:r>
      <w:r w:rsidDel="00000000" w:rsidR="00000000" w:rsidRPr="00000000">
        <w:rPr>
          <w:rFonts w:ascii="Palatino Linotype" w:cs="Palatino Linotype" w:eastAsia="Palatino Linotype" w:hAnsi="Palatino Linotype"/>
          <w:rtl w:val="0"/>
        </w:rPr>
        <w:t xml:space="preserve">sujetos obligados</w:t>
      </w:r>
      <w:r w:rsidDel="00000000" w:rsidR="00000000" w:rsidRPr="00000000">
        <w:rPr>
          <w:rFonts w:ascii="Palatino Linotype" w:cs="Palatino Linotype" w:eastAsia="Palatino Linotype" w:hAnsi="Palatino Linotype"/>
          <w:rtl w:val="0"/>
        </w:rPr>
        <w:t xml:space="preserve"> que han dado atención a la remisión del listado de información de interés público, </w:t>
      </w:r>
      <w:r w:rsidDel="00000000" w:rsidR="00000000" w:rsidRPr="00000000">
        <w:rPr>
          <w:rFonts w:ascii="Palatino Linotype" w:cs="Palatino Linotype" w:eastAsia="Palatino Linotype" w:hAnsi="Palatino Linotype"/>
          <w:rtl w:val="0"/>
        </w:rPr>
        <w:t xml:space="preserve">así como lo temas que integrarán el </w:t>
      </w:r>
      <w:r w:rsidDel="00000000" w:rsidR="00000000" w:rsidRPr="00000000">
        <w:rPr>
          <w:rFonts w:ascii="Palatino Linotype" w:cs="Palatino Linotype" w:eastAsia="Palatino Linotype" w:hAnsi="Palatino Linotype"/>
          <w:rtl w:val="0"/>
        </w:rPr>
        <w:t xml:space="preserve">catálogo de información adicional por considerarse de interés público</w:t>
      </w:r>
      <w:r w:rsidDel="00000000" w:rsidR="00000000" w:rsidRPr="00000000">
        <w:rPr>
          <w:rFonts w:ascii="Palatino Linotype" w:cs="Palatino Linotype" w:eastAsia="Palatino Linotype" w:hAnsi="Palatino Linotype"/>
          <w:rtl w:val="0"/>
        </w:rPr>
        <w:t xml:space="preserve">, en razón de lo anterior se destaca lo siguiente: </w:t>
      </w:r>
    </w:p>
    <w:p w:rsidR="00000000" w:rsidDel="00000000" w:rsidP="00000000" w:rsidRDefault="00000000" w:rsidRPr="00000000" w14:paraId="0000003A">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B">
      <w:pPr>
        <w:numPr>
          <w:ilvl w:val="0"/>
          <w:numId w:val="1"/>
        </w:numPr>
        <w:spacing w:after="0" w:line="276"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2</w:t>
      </w:r>
      <w:r w:rsidDel="00000000" w:rsidR="00000000" w:rsidRPr="00000000">
        <w:rPr>
          <w:rFonts w:ascii="Palatino Linotype" w:cs="Palatino Linotype" w:eastAsia="Palatino Linotype" w:hAnsi="Palatino Linotype"/>
          <w:rtl w:val="0"/>
        </w:rPr>
        <w:t xml:space="preserve">68 Sujetos Obligados dieron respuesta al requerimiento de información, de los cuales:</w:t>
      </w:r>
    </w:p>
    <w:p w:rsidR="00000000" w:rsidDel="00000000" w:rsidP="00000000" w:rsidRDefault="00000000" w:rsidRPr="00000000" w14:paraId="0000003C">
      <w:pPr>
        <w:numPr>
          <w:ilvl w:val="1"/>
          <w:numId w:val="1"/>
        </w:numPr>
        <w:spacing w:line="276" w:lineRule="auto"/>
        <w:ind w:left="1440" w:hanging="360"/>
        <w:jc w:val="both"/>
        <w:rPr>
          <w:rFonts w:ascii="Palatino Linotype" w:cs="Palatino Linotype" w:eastAsia="Palatino Linotype" w:hAnsi="Palatino Linotype"/>
        </w:rPr>
      </w:pPr>
      <w:bookmarkStart w:colFirst="0" w:colLast="0" w:name="_heading=h.bzj0gjgreyhx" w:id="1"/>
      <w:bookmarkEnd w:id="1"/>
      <w:r w:rsidDel="00000000" w:rsidR="00000000" w:rsidRPr="00000000">
        <w:rPr>
          <w:rFonts w:ascii="Palatino Linotype" w:cs="Palatino Linotype" w:eastAsia="Palatino Linotype" w:hAnsi="Palatino Linotype"/>
          <w:rtl w:val="0"/>
        </w:rPr>
        <w:t xml:space="preserve">24</w:t>
      </w:r>
      <w:r w:rsidDel="00000000" w:rsidR="00000000" w:rsidRPr="00000000">
        <w:rPr>
          <w:rFonts w:ascii="Palatino Linotype" w:cs="Palatino Linotype" w:eastAsia="Palatino Linotype" w:hAnsi="Palatino Linotype"/>
          <w:rtl w:val="0"/>
        </w:rPr>
        <w:t xml:space="preserve"> Sujetos Obligados señalaron no haber generado información de interés público (Anexo 4)</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3D">
      <w:pPr>
        <w:numPr>
          <w:ilvl w:val="0"/>
          <w:numId w:val="5"/>
        </w:numPr>
        <w:spacing w:line="276" w:lineRule="auto"/>
        <w:ind w:left="720" w:hanging="360"/>
        <w:jc w:val="both"/>
        <w:rPr>
          <w:rFonts w:ascii="Palatino Linotype" w:cs="Palatino Linotype" w:eastAsia="Palatino Linotype" w:hAnsi="Palatino Linotype"/>
        </w:rPr>
      </w:pPr>
      <w:bookmarkStart w:colFirst="0" w:colLast="0" w:name="_heading=h.kz3bv42wnnw6" w:id="2"/>
      <w:bookmarkEnd w:id="2"/>
      <w:r w:rsidDel="00000000" w:rsidR="00000000" w:rsidRPr="00000000">
        <w:rPr>
          <w:rFonts w:ascii="Palatino Linotype" w:cs="Palatino Linotype" w:eastAsia="Palatino Linotype" w:hAnsi="Palatino Linotype"/>
          <w:rtl w:val="0"/>
        </w:rPr>
        <w:t xml:space="preserve">64</w:t>
      </w:r>
      <w:r w:rsidDel="00000000" w:rsidR="00000000" w:rsidRPr="00000000">
        <w:rPr>
          <w:rFonts w:ascii="Palatino Linotype" w:cs="Palatino Linotype" w:eastAsia="Palatino Linotype" w:hAnsi="Palatino Linotype"/>
          <w:rtl w:val="0"/>
        </w:rPr>
        <w:t xml:space="preserve"> Sujetos Obligados fueron omisos en atender el requerimiento de información de interés público.</w:t>
      </w:r>
      <w:r w:rsidDel="00000000" w:rsidR="00000000" w:rsidRPr="00000000">
        <w:rPr>
          <w:rFonts w:ascii="Palatino Linotype" w:cs="Palatino Linotype" w:eastAsia="Palatino Linotype" w:hAnsi="Palatino Linotype"/>
          <w:rtl w:val="0"/>
        </w:rPr>
        <w:t xml:space="preserve">(Anexo 3).</w:t>
      </w:r>
    </w:p>
    <w:p w:rsidR="00000000" w:rsidDel="00000000" w:rsidP="00000000" w:rsidRDefault="00000000" w:rsidRPr="00000000" w14:paraId="0000003E">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derivado de los listados considerados como información de interés público remitidos a esta Dirección General de Transparencia, Acceso a la Información Pública y Gobierno Abierto, </w:t>
      </w:r>
      <w:r w:rsidDel="00000000" w:rsidR="00000000" w:rsidRPr="00000000">
        <w:rPr>
          <w:rFonts w:ascii="Palatino Linotype" w:cs="Palatino Linotype" w:eastAsia="Palatino Linotype" w:hAnsi="Palatino Linotype"/>
          <w:rtl w:val="0"/>
        </w:rPr>
        <w:t xml:space="preserve">se advierte que al día once de marzo de dos  mil veintidós, se contaba con un total de</w:t>
      </w:r>
      <w:r w:rsidDel="00000000" w:rsidR="00000000" w:rsidRPr="00000000">
        <w:rPr>
          <w:rFonts w:ascii="Palatino Linotype" w:cs="Palatino Linotype" w:eastAsia="Palatino Linotype" w:hAnsi="Palatino Linotype"/>
          <w:b w:val="1"/>
          <w:rtl w:val="0"/>
        </w:rPr>
        <w:t xml:space="preserve"> 779 </w:t>
      </w:r>
      <w:r w:rsidDel="00000000" w:rsidR="00000000" w:rsidRPr="00000000">
        <w:rPr>
          <w:rFonts w:ascii="Palatino Linotype" w:cs="Palatino Linotype" w:eastAsia="Palatino Linotype" w:hAnsi="Palatino Linotype"/>
          <w:b w:val="1"/>
          <w:rtl w:val="0"/>
        </w:rPr>
        <w:t xml:space="preserve">temas</w:t>
      </w:r>
      <w:r w:rsidDel="00000000" w:rsidR="00000000" w:rsidRPr="00000000">
        <w:rPr>
          <w:rFonts w:ascii="Palatino Linotype" w:cs="Palatino Linotype" w:eastAsia="Palatino Linotype" w:hAnsi="Palatino Linotype"/>
          <w:b w:val="1"/>
          <w:rtl w:val="0"/>
        </w:rPr>
        <w:t xml:space="preserve"> para análisis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rtl w:val="0"/>
        </w:rPr>
        <w:t xml:space="preserve">en razón de lo anterior y del análisis normativo realizado, se advierte lo siguiente: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after="0" w:line="276" w:lineRule="auto"/>
        <w:ind w:left="1843"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400 </w:t>
      </w:r>
      <w:r w:rsidDel="00000000" w:rsidR="00000000" w:rsidRPr="00000000">
        <w:rPr>
          <w:rFonts w:ascii="Palatino Linotype" w:cs="Palatino Linotype" w:eastAsia="Palatino Linotype" w:hAnsi="Palatino Linotype"/>
          <w:rtl w:val="0"/>
        </w:rPr>
        <w:t xml:space="preserve">registros</w:t>
      </w:r>
      <w:r w:rsidDel="00000000" w:rsidR="00000000" w:rsidRPr="00000000">
        <w:rPr>
          <w:rFonts w:ascii="Palatino Linotype" w:cs="Palatino Linotype" w:eastAsia="Palatino Linotype" w:hAnsi="Palatino Linotype"/>
          <w:rtl w:val="0"/>
        </w:rPr>
        <w:t xml:space="preserve"> fueron descartados por apartarse de las hipótesis previstas en los numerales cuarto y octavo de los referidos Lineamientos. (Anexo 2).</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line="276" w:lineRule="auto"/>
        <w:ind w:left="1843" w:hanging="425"/>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379 </w:t>
      </w:r>
      <w:r w:rsidDel="00000000" w:rsidR="00000000" w:rsidRPr="00000000">
        <w:rPr>
          <w:rFonts w:ascii="Palatino Linotype" w:cs="Palatino Linotype" w:eastAsia="Palatino Linotype" w:hAnsi="Palatino Linotype"/>
          <w:color w:val="000000"/>
          <w:rtl w:val="0"/>
        </w:rPr>
        <w:t xml:space="preserve">registros se consideraron procedentes por</w:t>
      </w:r>
      <w:r w:rsidDel="00000000" w:rsidR="00000000" w:rsidRPr="00000000">
        <w:rPr>
          <w:rFonts w:ascii="Palatino Linotype" w:cs="Palatino Linotype" w:eastAsia="Palatino Linotype" w:hAnsi="Palatino Linotype"/>
          <w:rtl w:val="0"/>
        </w:rPr>
        <w:t xml:space="preserve"> adecuarse a</w:t>
      </w: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color w:val="000000"/>
          <w:rtl w:val="0"/>
        </w:rPr>
        <w:t xml:space="preserve">alguno</w:t>
      </w:r>
      <w:r w:rsidDel="00000000" w:rsidR="00000000" w:rsidRPr="00000000">
        <w:rPr>
          <w:rFonts w:ascii="Palatino Linotype" w:cs="Palatino Linotype" w:eastAsia="Palatino Linotype" w:hAnsi="Palatino Linotype"/>
          <w:color w:val="000000"/>
          <w:rtl w:val="0"/>
        </w:rPr>
        <w:t xml:space="preserve"> de los supuestos previstos en los numerales cuarto y octavo de los Lineamientos de Interés Público. </w:t>
      </w:r>
      <w:r w:rsidDel="00000000" w:rsidR="00000000" w:rsidRPr="00000000">
        <w:rPr>
          <w:rFonts w:ascii="Palatino Linotype" w:cs="Palatino Linotype" w:eastAsia="Palatino Linotype" w:hAnsi="Palatino Linotype"/>
          <w:rtl w:val="0"/>
        </w:rPr>
        <w:t xml:space="preserve">(Anexo 1).</w:t>
      </w:r>
    </w:p>
    <w:p w:rsidR="00000000" w:rsidDel="00000000" w:rsidP="00000000" w:rsidRDefault="00000000" w:rsidRPr="00000000" w14:paraId="00000042">
      <w:pPr>
        <w:spacing w:after="0" w:before="240" w:line="276" w:lineRule="auto"/>
        <w:jc w:val="both"/>
        <w:rPr>
          <w:rFonts w:ascii="Palatino Linotype" w:cs="Palatino Linotype" w:eastAsia="Palatino Linotype" w:hAnsi="Palatino Linotype"/>
          <w:color w:val="222222"/>
          <w:highlight w:val="white"/>
        </w:rPr>
      </w:pPr>
      <w:r w:rsidDel="00000000" w:rsidR="00000000" w:rsidRPr="00000000">
        <w:rPr>
          <w:rFonts w:ascii="Palatino Linotype" w:cs="Palatino Linotype" w:eastAsia="Palatino Linotype" w:hAnsi="Palatino Linotype"/>
          <w:highlight w:val="white"/>
          <w:rtl w:val="0"/>
        </w:rPr>
        <w:t xml:space="preserve">No pasa desapercibido, que de los 24 sujetos obligados que señalaron no generar temas de interés público, esta </w:t>
      </w:r>
      <w:r w:rsidDel="00000000" w:rsidR="00000000" w:rsidRPr="00000000">
        <w:rPr>
          <w:rFonts w:ascii="Palatino Linotype" w:cs="Palatino Linotype" w:eastAsia="Palatino Linotype" w:hAnsi="Palatino Linotype"/>
          <w:rtl w:val="0"/>
        </w:rPr>
        <w:t xml:space="preserve">Dirección General de Transparencia, Acceso a la Información Pública y Gobierno Abierto</w:t>
      </w:r>
      <w:r w:rsidDel="00000000" w:rsidR="00000000" w:rsidRPr="00000000">
        <w:rPr>
          <w:rFonts w:ascii="Palatino Linotype" w:cs="Palatino Linotype" w:eastAsia="Palatino Linotype" w:hAnsi="Palatino Linotype"/>
          <w:highlight w:val="white"/>
          <w:rtl w:val="0"/>
        </w:rPr>
        <w:t xml:space="preserve">, mediante correo electrónico el pasado siete de marzo del dos mil veintidós, </w:t>
      </w:r>
      <w:r w:rsidDel="00000000" w:rsidR="00000000" w:rsidRPr="00000000">
        <w:rPr>
          <w:rFonts w:ascii="Palatino Linotype" w:cs="Palatino Linotype" w:eastAsia="Palatino Linotype" w:hAnsi="Palatino Linotype"/>
          <w:color w:val="222222"/>
          <w:highlight w:val="white"/>
          <w:rtl w:val="0"/>
        </w:rPr>
        <w:t xml:space="preserve">solicitó se remitiera la información subsanada en un término de 5 días hábiles, contados a partir de la recepción del mismo, conforme lo establece el Lineamiento Noveno segundo párrafo de los “Lineamientos para establecer el procedimiento de identificación y revisión de la información adicional que publicarán los Sujetos Obligados por considerarse de interés público, así como, mediante llamadas telefónicas realizadas por el personal adscrito a esta </w:t>
      </w:r>
      <w:r w:rsidDel="00000000" w:rsidR="00000000" w:rsidRPr="00000000">
        <w:rPr>
          <w:rFonts w:ascii="Palatino Linotype" w:cs="Palatino Linotype" w:eastAsia="Palatino Linotype" w:hAnsi="Palatino Linotype"/>
          <w:rtl w:val="0"/>
        </w:rPr>
        <w:t xml:space="preserve">Dirección General</w:t>
      </w:r>
      <w:r w:rsidDel="00000000" w:rsidR="00000000" w:rsidRPr="00000000">
        <w:rPr>
          <w:rFonts w:ascii="Palatino Linotype" w:cs="Palatino Linotype" w:eastAsia="Palatino Linotype" w:hAnsi="Palatino Linotype"/>
          <w:color w:val="222222"/>
          <w:highlight w:val="white"/>
          <w:rtl w:val="0"/>
        </w:rPr>
        <w:t xml:space="preserve">, por lo que, se les conminó a cumplir con dicho requerimiento, sin tener a la fecha del presente una respuesta favorable.</w:t>
      </w:r>
    </w:p>
    <w:p w:rsidR="00000000" w:rsidDel="00000000" w:rsidP="00000000" w:rsidRDefault="00000000" w:rsidRPr="00000000" w14:paraId="00000043">
      <w:pPr>
        <w:spacing w:after="0" w:before="240" w:line="276"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color w:val="222222"/>
          <w:highlight w:val="white"/>
          <w:rtl w:val="0"/>
        </w:rPr>
        <w:t xml:space="preserve">Ahora bien, de los</w:t>
      </w:r>
      <w:r w:rsidDel="00000000" w:rsidR="00000000" w:rsidRPr="00000000">
        <w:rPr>
          <w:rFonts w:ascii="Palatino Linotype" w:cs="Palatino Linotype" w:eastAsia="Palatino Linotype" w:hAnsi="Palatino Linotype"/>
          <w:highlight w:val="white"/>
          <w:rtl w:val="0"/>
        </w:rPr>
        <w:t xml:space="preserve"> </w:t>
      </w:r>
      <w:r w:rsidDel="00000000" w:rsidR="00000000" w:rsidRPr="00000000">
        <w:rPr>
          <w:rFonts w:ascii="Palatino Linotype" w:cs="Palatino Linotype" w:eastAsia="Palatino Linotype" w:hAnsi="Palatino Linotype"/>
          <w:highlight w:val="white"/>
          <w:rtl w:val="0"/>
        </w:rPr>
        <w:t xml:space="preserve">64 Suj</w:t>
      </w:r>
      <w:r w:rsidDel="00000000" w:rsidR="00000000" w:rsidRPr="00000000">
        <w:rPr>
          <w:rFonts w:ascii="Palatino Linotype" w:cs="Palatino Linotype" w:eastAsia="Palatino Linotype" w:hAnsi="Palatino Linotype"/>
          <w:highlight w:val="white"/>
          <w:rtl w:val="0"/>
        </w:rPr>
        <w:t xml:space="preserve">etos Obligados omisos, se encuentran 51 entre Ayuntamientos y Organismos Auxiliares, quienes viven un proceso de transición y operando en condiciones poco convencionales, en ese sentido, y a su consideración de ser el caso se podrá realizar un extrañamiento público al(os) sujeto(s) obligado(s) que actualice (n) alguna de las causas de responsabilidad administrativa, establecidas en esta Ley</w:t>
      </w:r>
    </w:p>
    <w:p w:rsidR="00000000" w:rsidDel="00000000" w:rsidP="00000000" w:rsidRDefault="00000000" w:rsidRPr="00000000" w14:paraId="00000044">
      <w:pPr>
        <w:spacing w:after="0" w:before="240" w:line="276" w:lineRule="auto"/>
        <w:jc w:val="both"/>
        <w:rPr>
          <w:rFonts w:ascii="Palatino Linotype" w:cs="Palatino Linotype" w:eastAsia="Palatino Linotype" w:hAnsi="Palatino Linotype"/>
          <w:highlight w:val="yellow"/>
        </w:rPr>
      </w:pPr>
      <w:r w:rsidDel="00000000" w:rsidR="00000000" w:rsidRPr="00000000">
        <w:rPr>
          <w:rtl w:val="0"/>
        </w:rPr>
      </w:r>
    </w:p>
    <w:p w:rsidR="00000000" w:rsidDel="00000000" w:rsidP="00000000" w:rsidRDefault="00000000" w:rsidRPr="00000000" w14:paraId="00000045">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anteriormente expuesto y fundado, la Dirección General de Transparencia, Acceso a la Información Pública y Gobierno Abierto:</w:t>
      </w:r>
    </w:p>
    <w:p w:rsidR="00000000" w:rsidDel="00000000" w:rsidP="00000000" w:rsidRDefault="00000000" w:rsidRPr="00000000" w14:paraId="00000046">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7">
      <w:pPr>
        <w:spacing w:line="276"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RESUELVE:</w:t>
      </w:r>
    </w:p>
    <w:p w:rsidR="00000000" w:rsidDel="00000000" w:rsidP="00000000" w:rsidRDefault="00000000" w:rsidRPr="00000000" w14:paraId="00000048">
      <w:pPr>
        <w:spacing w:line="276" w:lineRule="auto"/>
        <w:jc w:val="left"/>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9">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ÚNICO.</w:t>
      </w:r>
      <w:r w:rsidDel="00000000" w:rsidR="00000000" w:rsidRPr="00000000">
        <w:rPr>
          <w:rFonts w:ascii="Palatino Linotype" w:cs="Palatino Linotype" w:eastAsia="Palatino Linotype" w:hAnsi="Palatino Linotype"/>
          <w:rtl w:val="0"/>
        </w:rPr>
        <w:t xml:space="preserve"> Se dictamina como información de interés público la correspondiente a los </w:t>
      </w:r>
      <w:r w:rsidDel="00000000" w:rsidR="00000000" w:rsidRPr="00000000">
        <w:rPr>
          <w:rFonts w:ascii="Palatino Linotype" w:cs="Palatino Linotype" w:eastAsia="Palatino Linotype" w:hAnsi="Palatino Linotype"/>
          <w:b w:val="1"/>
          <w:rtl w:val="0"/>
        </w:rPr>
        <w:t xml:space="preserve">380 registros de información</w:t>
      </w:r>
      <w:r w:rsidDel="00000000" w:rsidR="00000000" w:rsidRPr="00000000">
        <w:rPr>
          <w:rFonts w:ascii="Palatino Linotype" w:cs="Palatino Linotype" w:eastAsia="Palatino Linotype" w:hAnsi="Palatino Linotype"/>
          <w:rtl w:val="0"/>
        </w:rPr>
        <w:t xml:space="preserve"> contenidos en diversos listados remitidos por los Sujetos Obligados por adecuarse a los supuestos normativos previstos en los Lineamientos de interés público, conforme se precisa en los considerandos del presente documento y sus anexos. </w:t>
      </w:r>
    </w:p>
    <w:p w:rsidR="00000000" w:rsidDel="00000000" w:rsidP="00000000" w:rsidRDefault="00000000" w:rsidRPr="00000000" w14:paraId="0000004A">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spacing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presente dictamen se </w:t>
      </w:r>
      <w:r w:rsidDel="00000000" w:rsidR="00000000" w:rsidRPr="00000000">
        <w:rPr>
          <w:rFonts w:ascii="Palatino Linotype" w:cs="Palatino Linotype" w:eastAsia="Palatino Linotype" w:hAnsi="Palatino Linotype"/>
          <w:highlight w:val="white"/>
          <w:rtl w:val="0"/>
        </w:rPr>
        <w:t xml:space="preserve">emite a </w:t>
      </w:r>
      <w:r w:rsidDel="00000000" w:rsidR="00000000" w:rsidRPr="00000000">
        <w:rPr>
          <w:rFonts w:ascii="Palatino Linotype" w:cs="Palatino Linotype" w:eastAsia="Palatino Linotype" w:hAnsi="Palatino Linotype"/>
          <w:rtl w:val="0"/>
        </w:rPr>
        <w:t xml:space="preserve">los once días </w:t>
      </w:r>
      <w:r w:rsidDel="00000000" w:rsidR="00000000" w:rsidRPr="00000000">
        <w:rPr>
          <w:rFonts w:ascii="Palatino Linotype" w:cs="Palatino Linotype" w:eastAsia="Palatino Linotype" w:hAnsi="Palatino Linotype"/>
          <w:highlight w:val="white"/>
          <w:rtl w:val="0"/>
        </w:rPr>
        <w:t xml:space="preserve">del mes de marzo de dos mil veintidós.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76" w:lineRule="auto"/>
        <w:jc w:val="both"/>
        <w:rPr>
          <w:rFonts w:ascii="Palatino Linotype" w:cs="Palatino Linotype" w:eastAsia="Palatino Linotype" w:hAnsi="Palatino Linotype"/>
          <w:color w:val="00000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-1057273</wp:posOffset>
          </wp:positionH>
          <wp:positionV relativeFrom="paragraph">
            <wp:posOffset>-477517</wp:posOffset>
          </wp:positionV>
          <wp:extent cx="7756263" cy="10101221"/>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56263" cy="10101221"/>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color w:val="00000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4705350" cy="326781"/>
              <wp:effectExtent b="0" l="0" r="0" t="0"/>
              <wp:wrapNone/>
              <wp:docPr id="6" name=""/>
              <a:graphic>
                <a:graphicData uri="http://schemas.microsoft.com/office/word/2010/wordprocessingShape">
                  <wps:wsp>
                    <wps:cNvSpPr/>
                    <wps:cNvPr id="2" name="Shape 2"/>
                    <wps:spPr>
                      <a:xfrm>
                        <a:off x="3002850" y="3626135"/>
                        <a:ext cx="4686300" cy="307731"/>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4"/>
                              <w:highlight w:val="white"/>
                              <w:vertAlign w:val="baseline"/>
                            </w:rPr>
                            <w:t xml:space="preserve"> </w:t>
                          </w:r>
                          <w:r w:rsidDel="00000000" w:rsidR="00000000" w:rsidRPr="00000000">
                            <w:rPr>
                              <w:rFonts w:ascii="Palatino Linotype" w:cs="Palatino Linotype" w:eastAsia="Palatino Linotype" w:hAnsi="Palatino Linotype"/>
                              <w:b w:val="0"/>
                              <w:i w:val="0"/>
                              <w:smallCaps w:val="0"/>
                              <w:strike w:val="0"/>
                              <w:color w:val="222222"/>
                              <w:sz w:val="16"/>
                              <w:highlight w:val="white"/>
                              <w:vertAlign w:val="baseline"/>
                            </w:rPr>
                            <w:t xml:space="preserve">2022. “Año del Quincentenario de la Fundación de Toluca de Lerdo, Capital del Estado de México”.</w:t>
                          </w:r>
                        </w:p>
                        <w:p w:rsidR="00000000" w:rsidDel="00000000" w:rsidP="00000000" w:rsidRDefault="00000000" w:rsidRPr="00000000">
                          <w:pPr>
                            <w:spacing w:after="160" w:before="0" w:line="258.0000114440918"/>
                            <w:ind w:left="0" w:right="0" w:firstLine="0"/>
                            <w:jc w:val="right"/>
                            <w:textDirection w:val="btLr"/>
                          </w:pPr>
                          <w:r w:rsidDel="00000000" w:rsidR="00000000" w:rsidRPr="00000000">
                            <w:rPr>
                              <w:rFonts w:ascii="Palatino Linotype" w:cs="Palatino Linotype" w:eastAsia="Palatino Linotype" w:hAnsi="Palatino Linotype"/>
                              <w:b w:val="0"/>
                              <w:i w:val="0"/>
                              <w:smallCaps w:val="0"/>
                              <w:strike w:val="0"/>
                              <w:color w:val="222222"/>
                              <w:sz w:val="16"/>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4705350" cy="326781"/>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705350" cy="326781"/>
                      </a:xfrm>
                      <a:prstGeom prst="rect"/>
                      <a:ln/>
                    </pic:spPr>
                  </pic:pic>
                </a:graphicData>
              </a:graphic>
            </wp:anchor>
          </w:drawing>
        </mc:Fallback>
      </mc:AlternateConten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DICTAMEN PARA DETERMINAR EL CATÁLOGO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DE INFORMACIÓN ADICIONAL QUE DEBERÁN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PUBLICAR LOS SUJETOS OBLIGADOS POR CONSIDERARSE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DE INTERÉS PÚBLICO CORRESPONDIENTE AL EJERCICIO 2022.</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5070"/>
        <w:tab w:val="left" w:pos="8400"/>
      </w:tabs>
      <w:spacing w:after="0" w:line="240" w:lineRule="auto"/>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419"/>
        <w:tab w:val="right" w:pos="8838"/>
        <w:tab w:val="left" w:pos="8400"/>
      </w:tabs>
      <w:spacing w:after="0" w:line="240" w:lineRule="auto"/>
      <w:rPr>
        <w:color w:val="000000"/>
      </w:rPr>
    </w:pPr>
    <w:r w:rsidDel="00000000" w:rsidR="00000000" w:rsidRPr="00000000">
      <w:rPr>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C0FBA"/>
    <w:rPr>
      <w:lang w:eastAsia="es-MX"/>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CF08F0"/>
    <w:pPr>
      <w:ind w:left="720"/>
      <w:contextualSpacing w:val="1"/>
    </w:pPr>
  </w:style>
  <w:style w:type="paragraph" w:styleId="Encabezado">
    <w:name w:val="header"/>
    <w:basedOn w:val="Normal"/>
    <w:link w:val="EncabezadoCar"/>
    <w:uiPriority w:val="99"/>
    <w:unhideWhenUsed w:val="1"/>
    <w:rsid w:val="008973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73F9"/>
  </w:style>
  <w:style w:type="paragraph" w:styleId="Piedepgina">
    <w:name w:val="footer"/>
    <w:basedOn w:val="Normal"/>
    <w:link w:val="PiedepginaCar"/>
    <w:uiPriority w:val="99"/>
    <w:unhideWhenUsed w:val="1"/>
    <w:rsid w:val="008973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73F9"/>
  </w:style>
  <w:style w:type="table" w:styleId="Tablaconcuadrcula">
    <w:name w:val="Table Grid"/>
    <w:basedOn w:val="Tablanormal"/>
    <w:uiPriority w:val="39"/>
    <w:rsid w:val="0012730D"/>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1C1B28"/>
    <w:rPr>
      <w:sz w:val="16"/>
      <w:szCs w:val="16"/>
    </w:rPr>
  </w:style>
  <w:style w:type="paragraph" w:styleId="Textocomentario">
    <w:name w:val="annotation text"/>
    <w:basedOn w:val="Normal"/>
    <w:link w:val="TextocomentarioCar"/>
    <w:uiPriority w:val="99"/>
    <w:semiHidden w:val="1"/>
    <w:unhideWhenUsed w:val="1"/>
    <w:rsid w:val="001C1B2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C1B28"/>
    <w:rPr>
      <w:rFonts w:ascii="Calibri" w:cs="Calibri" w:eastAsia="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1C1B28"/>
    <w:rPr>
      <w:b w:val="1"/>
      <w:bCs w:val="1"/>
    </w:rPr>
  </w:style>
  <w:style w:type="character" w:styleId="AsuntodelcomentarioCar" w:customStyle="1">
    <w:name w:val="Asunto del comentario Car"/>
    <w:basedOn w:val="TextocomentarioCar"/>
    <w:link w:val="Asuntodelcomentario"/>
    <w:uiPriority w:val="99"/>
    <w:semiHidden w:val="1"/>
    <w:rsid w:val="001C1B28"/>
    <w:rPr>
      <w:rFonts w:ascii="Calibri" w:cs="Calibri" w:eastAsia="Calibri" w:hAnsi="Calibri"/>
      <w:b w:val="1"/>
      <w:bCs w:val="1"/>
      <w:sz w:val="20"/>
      <w:szCs w:val="20"/>
      <w:lang w:eastAsia="es-MX"/>
    </w:rPr>
  </w:style>
  <w:style w:type="paragraph" w:styleId="Textodeglobo">
    <w:name w:val="Balloon Text"/>
    <w:basedOn w:val="Normal"/>
    <w:link w:val="TextodegloboCar"/>
    <w:uiPriority w:val="99"/>
    <w:semiHidden w:val="1"/>
    <w:unhideWhenUsed w:val="1"/>
    <w:rsid w:val="001C1B2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C1B28"/>
    <w:rPr>
      <w:rFonts w:ascii="Tahoma" w:cs="Tahoma" w:eastAsia="Calibri" w:hAnsi="Tahoma"/>
      <w:sz w:val="16"/>
      <w:szCs w:val="16"/>
      <w:lang w:eastAsia="es-MX"/>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TEiKAvlYWcm6unJ+xYC2IwVsGg==">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2022-03-03T17:49:00Z</dcterms:created>
  <dc:creator>USER</dc:creator>
</cp:coreProperties>
</file>