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El Instituto de Transparencia, Acceso a la Información Pública y Protección de Datos Personales del Estado de México y Municipios (</w:t>
      </w:r>
      <w:proofErr w:type="spellStart"/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Infoem</w:t>
      </w:r>
      <w:proofErr w:type="spellEnd"/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), de conformidad con los artículos 116, fracción VIII de la Constitución Política de los Estados Unidos Mexicanos, 5, párrafos 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trigésimo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, trigésimo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primero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y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trigésimo </w:t>
      </w:r>
      <w:r w:rsidR="009007F3" w:rsidRPr="00AD334F">
        <w:rPr>
          <w:rFonts w:ascii="Palatino Linotype" w:eastAsia="Palatino Linotype" w:hAnsi="Palatino Linotype" w:cs="Palatino Linotype"/>
          <w:sz w:val="21"/>
          <w:szCs w:val="21"/>
        </w:rPr>
        <w:t>segundo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, fracción VIII de la Constitución Política del Estado Libre y Soberano de México y 29 de la Ley de Transparencia y Acceso a la Información Pública del Estado de México y Municipios (Ley de Transparencia Local), es un </w:t>
      </w:r>
      <w:r w:rsidR="009007F3" w:rsidRPr="00AD334F">
        <w:rPr>
          <w:rFonts w:ascii="Palatino Linotype" w:eastAsia="Palatino Linotype" w:hAnsi="Palatino Linotype" w:cs="Palatino Linotype"/>
          <w:sz w:val="21"/>
          <w:szCs w:val="21"/>
        </w:rPr>
        <w:t>O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rganismo Público E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statal constitucionalmente autónomo, especializado, independiente, imparcial y colegiado dotado de personalidad jurídica y patrimonio propio, con plena autonomía técnica, de gestión, capacidad para decidir sobre el ejercicio de su presupuesto y determinar su organización inte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rna, responsable en materia de T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ransparencia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,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de garantizar e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l ejercicio de los derechos de Acceso a la Información Pública y la Protección de Datos P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ersonales en posesión de los Sujetos Obligados.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Con fundamento en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los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artículos 104 y 105 de la Ley de Transparencia Local, el </w:t>
      </w:r>
      <w:proofErr w:type="spellStart"/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I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nfoem</w:t>
      </w:r>
      <w:proofErr w:type="spellEnd"/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en el ámbito de su competencia, determinará los casos en que las personas físicas o jurídicas colectivas que reciban y ejerzan recursos públicos o realicen actos de autoridad, cum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plirán con las obligaciones de Transparencia y Acceso a la I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nformación </w:t>
      </w:r>
      <w:r w:rsidR="009007F3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Pública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directamente o a través de los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ujetos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bligados que les asignen dichos recursos o, en los términos de las disposiciones aplicables, realicen actos de autoridad.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Aunado a ello, en atención al artículo 81 de la Ley General de Transparencia Acceso a la Información Pública y en el Anexo XIV de los 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difundir los sujetos obligados en los portales de Internet y en la Plataforma Nacional de Transparencia; l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ujetos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bligados deberán enviar a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este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Instituto, el listado de las personas físicas o jurídicas colectivas a los que, por cualquier motivo, asignaron recursos públicos o, en los términos de las disposiciones jurídicas aplicables, realicen actos de autoridad. 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lastRenderedPageBreak/>
        <w:t>Para resolver sobre el cumplimiento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,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el Instituto tomará en cuenta si realiza una función gubernamental, el nivel de financiamiento público, el nivel de regulación e involucramiento gubernamental y si el gobierno estatal participó en su creación. 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C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onforme a lo dispuesto por el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a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rtículo 25 fracción XI del Reglamento Interior de este Órgano Garante, la Dirección General de Transparencia, Acceso a la Información Pública y Gobierno Abierto</w:t>
      </w:r>
      <w:r w:rsidRPr="00AD334F">
        <w:rPr>
          <w:rFonts w:ascii="Palatino Linotype" w:eastAsia="Palatino Linotype" w:hAnsi="Palatino Linotype" w:cs="Palatino Linotype"/>
          <w:b/>
          <w:sz w:val="21"/>
          <w:szCs w:val="21"/>
        </w:rPr>
        <w:t xml:space="preserve"> t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iene la atribución de r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equerir a los Sujetos Obligados el listado de las personas físicas o jurídicas colectivas a las que, por cualquier motivo, asignaron recursos públicos o, en los términos de las disposiciones jurídicas aplicables, realicen actos de autoridad, para la elaboración del padrón correspondiente.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b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Con objeto de dar continuidad a la atribución antes referida de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la Dirección General de Transparencia, Acceso a la Información Pública y Gobierno Abierto,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el día 17 de enero de 2022,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se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solicitó mediante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correo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electrónico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a los</w:t>
      </w:r>
      <w:r w:rsidRPr="00AD334F">
        <w:rPr>
          <w:rFonts w:ascii="Palatino Linotype" w:eastAsia="Palatino Linotype" w:hAnsi="Palatino Linotype" w:cs="Palatino Linotype"/>
          <w:b/>
          <w:color w:val="000000"/>
          <w:sz w:val="21"/>
          <w:szCs w:val="21"/>
        </w:rPr>
        <w:t xml:space="preserve">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33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2</w:t>
      </w:r>
      <w:r w:rsidRPr="00AD334F">
        <w:rPr>
          <w:rFonts w:ascii="Palatino Linotype" w:eastAsia="Palatino Linotype" w:hAnsi="Palatino Linotype" w:cs="Palatino Linotype"/>
          <w:b/>
          <w:color w:val="000000"/>
          <w:sz w:val="21"/>
          <w:szCs w:val="21"/>
        </w:rPr>
        <w:t xml:space="preserve">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Sujetos Obligados vigentes, el Listado de las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p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ersonas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f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ísicas o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j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urídicas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c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olectivas a los que por cualquier motivo, asignaron recursos públicos o, en los términos de las disposiciones jurídicas aplicables, realicen actos de autoridad.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De acuerdo con lo establecido en los 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difundir los sujetos obligados en los portales de internet y en la Plataforma Nacional de Transparencia; dichos listados deberán contener como mínimo la siguiente información: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Sujeto obligado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Fecha de elaboración del listado (con el formato día/mes/año)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Ejercicio en el que se entregó o entregará el recurso público a las personas físicas o morales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Fecha en la que se entregó o entregará el recurso (con el formato día/mes/año)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Tipo de persona: física, moral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Nombre completo de la persona física, denominación, razón social o nombre comercial de la persona moral que recibirá/</w:t>
      </w:r>
      <w:proofErr w:type="spellStart"/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ó</w:t>
      </w:r>
      <w:proofErr w:type="spellEnd"/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 xml:space="preserve"> y ejercerá/</w:t>
      </w:r>
      <w:proofErr w:type="spellStart"/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ió</w:t>
      </w:r>
      <w:proofErr w:type="spellEnd"/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 xml:space="preserve"> recursos públicos o ejercerá/</w:t>
      </w:r>
      <w:proofErr w:type="spellStart"/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ió</w:t>
      </w:r>
      <w:proofErr w:type="spellEnd"/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 xml:space="preserve"> actos de autoridad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lastRenderedPageBreak/>
        <w:t>Documento de creación (tratándose de personas morales)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Modalidad de otorgamiento del recurso público: asignación, aportación, subsidio, aprovechamiento, mejora, contribución, financiamiento, patrocinio, copatrocinio, subvención, pago, entrega, permiso de uso.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Tipo de recurso público: dinero, en especie, bienes patrimoniales, otra.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Ámbito de aplicación, por ejemplo: educación, salud, seguridad, Banca Social (sector de Ahorro y Crédito Popular 261),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Monto total o especificación del recurso público otorgado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Periodicidad de entrega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Fundamento jurídico de la entrega</w:t>
      </w:r>
    </w:p>
    <w:p w:rsidR="009007F3" w:rsidRPr="00AD334F" w:rsidRDefault="009007F3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67"/>
        <w:jc w:val="both"/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En lo relativo a las personas físicas o morales que ejerzan actos de autoridad, además de los rubros anteriores deberá contener los siguientes datos:</w:t>
      </w:r>
    </w:p>
    <w:p w:rsidR="009007F3" w:rsidRPr="00AD334F" w:rsidRDefault="009007F3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Ejercicio para el que se facultó a la persona física o moral ejercer actos de autoridad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Fecha en que se facultó a la persona física o moral para realizar actos de autoridad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Acto (s) de autoridad para los que se facultó a la persona física o moral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>Modalidad del otorgamiento de facultades para realizar actos de autoridad: permiso, concesión, nombramiento, entre otros.</w:t>
      </w:r>
    </w:p>
    <w:p w:rsidR="00B40B86" w:rsidRPr="00AD334F" w:rsidRDefault="00F33111" w:rsidP="00AD33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 xml:space="preserve">Fundamento jurídico 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En atención a lo anterior, del día 8 al 17 de febrero de 2021, la Dirección General de Transparencia Acceso a la Información Pública y Gobierno Abierto, realizó la revisión y análisis de la información remitida por los Sujetos Obligados, tomando en consideración lo siguiente: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Si realiza una función gubernamental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;</w:t>
      </w:r>
    </w:p>
    <w:p w:rsidR="00B40B86" w:rsidRPr="00AD334F" w:rsidRDefault="00F33111" w:rsidP="00AD33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Nivel de financiamiento público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;</w:t>
      </w:r>
    </w:p>
    <w:p w:rsidR="00B40B86" w:rsidRPr="00AD334F" w:rsidRDefault="00F33111" w:rsidP="00AD33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Nivel de regulación e involucramiento gubernamental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,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y</w:t>
      </w:r>
    </w:p>
    <w:p w:rsidR="00B40B86" w:rsidRPr="00AD334F" w:rsidRDefault="00F33111" w:rsidP="00AD33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 w:right="567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Si el gobierno participó en su creación.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Atento a lo anterior, respecto de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la información proporcionada por los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ujetos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bligados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referente al listado de a quiénes se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otorgan recursos públicos o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realizan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actos de autoridad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lastRenderedPageBreak/>
        <w:t>correspondiente al ejercicio fiscal 202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2;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la Dirección General de Transparencia, Acceso a la Información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Pública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y Gobierno Abierto,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verificó que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la información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remitida se adecuara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a las hipótesis normativas previstas en los numerales Sexto, Séptimo, Octavo y Noveno de los Lineamientos Generales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que establecen los Criterios para el cumplimiento de las obligaciones de transparencia y acceso a la información a cargo de las personas físicas y morales que reciben y ejercen recursos públicos o realicen actos de autoridad, advirtiendo lo siguiente: </w:t>
      </w:r>
    </w:p>
    <w:p w:rsidR="00B40B86" w:rsidRPr="00AD334F" w:rsidRDefault="00B40B86" w:rsidP="00AD334F">
      <w:pPr>
        <w:spacing w:after="0" w:line="276" w:lineRule="auto"/>
        <w:ind w:left="1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after="0" w:line="276" w:lineRule="auto"/>
        <w:ind w:left="1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En relación con el numeral Sexto de los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Lineamientos Generales que establecen los criterios para el cumplimiento de las obligaciones de Transparencia y Acceso a la Información a cargo de las personas físicas y morales que reciben y ejercen recursos públicos o realicen actos de autoridad,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se advierte que las personas físicas o jurídico colectivas que se adecuen a cualquiera de las hipótesis ahí descritas, deberán cumplir con sus obligaciones de transparencia, a través del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ujeto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bligado que les otorgó el recurso público o les encomendó el acto de autoridad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; en ese sentido, la Dirección General en comento llevó a cabo las siguient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es acciones:</w:t>
      </w:r>
    </w:p>
    <w:p w:rsidR="00B40B86" w:rsidRPr="00AD334F" w:rsidRDefault="00B40B86" w:rsidP="00AD334F">
      <w:pPr>
        <w:spacing w:after="0" w:line="276" w:lineRule="auto"/>
        <w:ind w:left="1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6"/>
        </w:numPr>
        <w:spacing w:after="0" w:line="276" w:lineRule="auto"/>
        <w:ind w:left="720" w:hanging="371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Correo electrónico, de fecha 17 de enero de la presente anualidad, mediante el cual se les requirió a cada uno de los 332 sujetos obligados registrados en el padrón, la entrega de diversa información, entre ella, el Listado de personas físicas y/o jurídico colectivas a las que por cualquier motivo se les asignó o asigna recurso público, ejerció o ejerce actos de autoridad, con fundamento en el artículo 104, de la Ley de Transparencia, Acceso a la Información Pública del Estado de México y Municipios, así como, artículo 25 fracción XI del Reglamento Interior del Instituto de Transparencia, Acceso a la Información Pública del Estado de México y Municipios.</w:t>
      </w:r>
    </w:p>
    <w:p w:rsidR="00B40B86" w:rsidRPr="00AD334F" w:rsidRDefault="00B40B86" w:rsidP="00AD334F">
      <w:pPr>
        <w:spacing w:after="0" w:line="276" w:lineRule="auto"/>
        <w:ind w:left="361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6"/>
        </w:numPr>
        <w:spacing w:after="0" w:line="276" w:lineRule="auto"/>
        <w:ind w:left="720" w:hanging="371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Análisis detallado de l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a información remitida por los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ujetos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O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bligados, a efecto de determinar si las personas físicas o jurídico colectivas, cumplen con mecanismos de rendición de cuentas instrumentados por la institución que otorgó el recurso público.</w:t>
      </w:r>
    </w:p>
    <w:p w:rsidR="00B40B86" w:rsidRPr="00AD334F" w:rsidRDefault="00B40B86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</w:p>
    <w:p w:rsidR="00881B25" w:rsidRPr="00AD334F" w:rsidRDefault="00F33111" w:rsidP="00AD334F">
      <w:pPr>
        <w:numPr>
          <w:ilvl w:val="0"/>
          <w:numId w:val="6"/>
        </w:num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Revisión d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el monto de financiamiento público otorgado a las personas físicas o jurídico colectivas, a efecto de identificar a aquellas que se adecuan a la</w:t>
      </w:r>
      <w:r w:rsidR="00881B25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s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hipótesis prevista</w:t>
      </w:r>
      <w:r w:rsidR="00881B25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s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en</w:t>
      </w:r>
      <w:r w:rsidR="00881B25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las siguientes fracciones del numeral </w:t>
      </w:r>
      <w:r w:rsidR="00881B25"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="00881B25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exto de los</w:t>
      </w:r>
      <w:r w:rsidR="00881B25"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Lineamientos Generales que establecen los criterios para el cumplimiento de las obligaciones de Transparencia y Acceso a la Información Pública a cargo de las personas físicas y morales que reciben y ejercen recursos públicos o realicen actos de autoridad</w:t>
      </w:r>
    </w:p>
    <w:p w:rsidR="00881B25" w:rsidRPr="00AD334F" w:rsidRDefault="00881B25" w:rsidP="00AD334F">
      <w:pPr>
        <w:pStyle w:val="Prrafodelista"/>
        <w:spacing w:line="276" w:lineRule="auto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</w:p>
    <w:p w:rsidR="00B31936" w:rsidRPr="00AD334F" w:rsidRDefault="00881B25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Fracción II</w:t>
      </w:r>
      <w:r w:rsidR="00CF457A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. Si el nivel de financiamiento público anual recibido por la persona física o moral es igual o inferior al equivalente de la suma de los montos máximos previstos en las fracciones II y III del artículo 214 de la Ley General, multiplicado por el monto de la Unidad de Medida y Actualización (UMA) vigente.</w:t>
      </w:r>
    </w:p>
    <w:p w:rsidR="00AD334F" w:rsidRPr="00AD334F" w:rsidRDefault="00AD334F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</w:p>
    <w:p w:rsidR="00B31936" w:rsidRPr="00AD334F" w:rsidRDefault="00B31936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P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</w:rPr>
        <w:t>or lo que se analizó en específico el tema proporcionado</w:t>
      </w:r>
      <w:r w:rsidR="00F33111"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por la 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Universidad Tecnológica del Sur del Estado de México, quién remitió un listado con servidores públicos miembros de una Asociación  denominada "Asociación de Servidores Públicos Académicos y Administrativos de la Universidad Tecnológica del Sur del Estado de México" considerándolos como personas físicas y/o jurídico colectivas a las que se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estimó,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se les asignó recurso público, el cual asciende al monto anual de $448,000.00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.</w:t>
      </w:r>
    </w:p>
    <w:p w:rsidR="00B31936" w:rsidRPr="00AD334F" w:rsidRDefault="00B31936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</w:p>
    <w:p w:rsidR="00881B25" w:rsidRPr="00AD334F" w:rsidRDefault="00B31936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Sin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embargo, para determinar la forma en que las personas físicas o morales que reciban y ejerzan recursos públicos o realicen actos de autoridad, cumplan con la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s obligaciones de Transparencia y Acceso a la I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nformación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Pública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, se elaborará un dictamen en el que 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se 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tome en cuenta si el nivel de financiamiento público anual recibido por la persona física o moral es igual o inferior al </w:t>
      </w:r>
      <w:r w:rsidR="00CF457A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señalado en dicha fracción.</w:t>
      </w:r>
    </w:p>
    <w:p w:rsidR="00881B25" w:rsidRPr="00AD334F" w:rsidRDefault="00881B25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</w:p>
    <w:p w:rsidR="006C4356" w:rsidRPr="00AD334F" w:rsidRDefault="00881B25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Fracción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III</w:t>
      </w:r>
      <w:r w:rsidR="00CF457A" w:rsidRPr="00AD334F">
        <w:rPr>
          <w:rFonts w:ascii="Palatino Linotype" w:eastAsia="Palatino Linotype" w:hAnsi="Palatino Linotype" w:cs="Palatino Linotype"/>
          <w:sz w:val="21"/>
          <w:szCs w:val="21"/>
        </w:rPr>
        <w:t>.</w:t>
      </w:r>
      <w:r w:rsidR="00B31936"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</w:rPr>
        <w:t>S</w:t>
      </w:r>
      <w:r w:rsidR="00F33111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i las personas físicas y morales que reciban y ejerzan recursos públicos o realicen actos de autoridad, se encuentran sujetos a una norma jurídica que prevea la rendición de cuentas a quien se los otorga o supervisa la realización de los actos. </w:t>
      </w:r>
    </w:p>
    <w:p w:rsidR="006C4356" w:rsidRPr="00AD334F" w:rsidRDefault="006C4356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</w:p>
    <w:p w:rsidR="00B40B86" w:rsidRPr="00AD334F" w:rsidRDefault="00F33111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Cuando cumplan con alguno de los supuestos antes mencionados, cum</w:t>
      </w:r>
      <w:r w:rsidR="006C4356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plirán con las obligaciones de T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ransp</w:t>
      </w:r>
      <w:r w:rsidR="006C4356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arencia y Acceso a la I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nformación </w:t>
      </w:r>
      <w:r w:rsidR="006C4356"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Pública 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a través de los sujetos obligados que les otorgan los recursos o los facultan para realizar los actos de autoridad, lo cual acontece pues el Sujeto Obligado lo reporta en Ipomex, fracción XX B,  Recursos Públicos entregados a Sindicatos </w:t>
      </w:r>
      <w:hyperlink r:id="rId8">
        <w:r w:rsidRPr="00AD334F">
          <w:rPr>
            <w:rFonts w:ascii="Palatino Linotype" w:eastAsia="Palatino Linotype" w:hAnsi="Palatino Linotype" w:cs="Palatino Linotype"/>
            <w:color w:val="1155CC"/>
            <w:sz w:val="21"/>
            <w:szCs w:val="21"/>
            <w:highlight w:val="white"/>
            <w:u w:val="single"/>
          </w:rPr>
          <w:t>https://www.ipomex.org.mx/ipo3/lgt/indice/UTSEM/art_92_xx_b/3.web</w:t>
        </w:r>
      </w:hyperlink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</w:t>
      </w:r>
    </w:p>
    <w:p w:rsidR="00B40B86" w:rsidRPr="00AD334F" w:rsidRDefault="00B40B86" w:rsidP="00AD334F">
      <w:pP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Se verificó si las personas físicas o jurídicas colectivas que recibieron recursos públicos, se encuentran sujetas a una norma jurídica que les establezca la obligación de rendir cuentas respecto de los recursos recibidos. 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Asimismo, de dicha información remitida por los Sujetos Obligados, se resume en lo siguiente: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1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b/>
          <w:sz w:val="21"/>
          <w:szCs w:val="21"/>
          <w:highlight w:val="white"/>
        </w:rPr>
        <w:t xml:space="preserve">114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Sujetos Obligados fueron omisos al requerimiento de su listado de personas físicas o jurídicas colectivas que reciben y ejercen recursos públicos o realicen actos de autoridad de los cuales:</w:t>
      </w:r>
    </w:p>
    <w:p w:rsidR="00B40B86" w:rsidRPr="00AD334F" w:rsidRDefault="00B40B86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3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25 Poder Ejecutivo;</w:t>
      </w:r>
    </w:p>
    <w:p w:rsidR="00B40B86" w:rsidRPr="00AD334F" w:rsidRDefault="00F33111" w:rsidP="00AD334F">
      <w:pPr>
        <w:numPr>
          <w:ilvl w:val="0"/>
          <w:numId w:val="3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3 Partidos Políticos;</w:t>
      </w:r>
    </w:p>
    <w:p w:rsidR="00B40B86" w:rsidRPr="00AD334F" w:rsidRDefault="00F33111" w:rsidP="00AD334F">
      <w:pPr>
        <w:numPr>
          <w:ilvl w:val="0"/>
          <w:numId w:val="3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48 Ayuntamientos;</w:t>
      </w:r>
    </w:p>
    <w:p w:rsidR="00B40B86" w:rsidRPr="00AD334F" w:rsidRDefault="00F33111" w:rsidP="00AD334F">
      <w:pPr>
        <w:numPr>
          <w:ilvl w:val="0"/>
          <w:numId w:val="3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13 Organismos Públicos Descentralizados de Agua;</w:t>
      </w:r>
    </w:p>
    <w:p w:rsidR="00B40B86" w:rsidRPr="00AD334F" w:rsidRDefault="00F33111" w:rsidP="00AD334F">
      <w:pPr>
        <w:numPr>
          <w:ilvl w:val="0"/>
          <w:numId w:val="3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21 Sistemas Municipales para el Desarr</w:t>
      </w:r>
      <w:r w:rsidR="00881B25" w:rsidRPr="00AD334F">
        <w:rPr>
          <w:rFonts w:ascii="Palatino Linotype" w:eastAsia="Palatino Linotype" w:hAnsi="Palatino Linotype" w:cs="Palatino Linotype"/>
          <w:sz w:val="21"/>
          <w:szCs w:val="21"/>
        </w:rPr>
        <w:t>ollo Integral de la Familia (DIF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) y</w:t>
      </w:r>
    </w:p>
    <w:p w:rsidR="00B40B86" w:rsidRPr="00AD334F" w:rsidRDefault="00F33111" w:rsidP="00AD334F">
      <w:pPr>
        <w:numPr>
          <w:ilvl w:val="0"/>
          <w:numId w:val="3"/>
        </w:num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4 Sindicatos</w:t>
      </w:r>
    </w:p>
    <w:p w:rsidR="00B40B86" w:rsidRPr="00AD334F" w:rsidRDefault="00F33111" w:rsidP="00AD334F">
      <w:pPr>
        <w:spacing w:after="0" w:line="276" w:lineRule="auto"/>
        <w:ind w:left="720" w:firstLine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(Anexo 2).</w:t>
      </w:r>
    </w:p>
    <w:p w:rsidR="00B40B86" w:rsidRPr="00AD334F" w:rsidRDefault="00B40B86" w:rsidP="00AD334F">
      <w:pP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b/>
          <w:sz w:val="21"/>
          <w:szCs w:val="21"/>
          <w:highlight w:val="white"/>
        </w:rPr>
        <w:t xml:space="preserve">218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Sujetos Obligados atendieron el requerimiento (Anexo 1)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de los cuales:</w:t>
      </w: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De lo anterior se desprenden los siguientes datos: 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10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211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Sujetos Obligados, señalaron no asignar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recursos (Anexo 1).</w:t>
      </w:r>
    </w:p>
    <w:p w:rsidR="00B40B86" w:rsidRPr="00AD334F" w:rsidRDefault="00F33111" w:rsidP="00AD33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10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7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Sujetos Obligados, señalaron que asignan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recursos, mismos que fueron descartados de conformidad con las variables establecidas en la normatividad antes referida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(Anexo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1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).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De los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7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Sujetos Obligados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señalados como descartados con antelación, se realizó un análisis de la información proporcionada, en la que se concluye que no cumplen con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las hipótesis previstas en el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a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rtículo 104 de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la Ley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de Tr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ansparencia L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ocal, el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a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rtículo 81 de la Ley General de Trans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parencia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y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los 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difundir los sujetos obligados en los portales de Internet y en la Plataforma Nacional de Transparencia; por las siguientes razones:</w:t>
      </w:r>
    </w:p>
    <w:p w:rsidR="00B40B86" w:rsidRPr="00AD334F" w:rsidRDefault="00B40B86" w:rsidP="00AD33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a)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La Universidad Tecnológica del Sur del Estado de México, señaló mediante correo electrónico que remitió el listado de personas a las que se les asignó un premio derivado de un concurso, sin embargo, son servidores públicos los participantes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. Y de acuerdo al artículo 3 fracción XXXVIII  de la Ley de Transparencia Local señala que: “</w:t>
      </w: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</w:rPr>
        <w:t>Servidores públicos</w:t>
      </w:r>
      <w:r w:rsidR="00AD334F" w:rsidRPr="00AD334F">
        <w:rPr>
          <w:rFonts w:ascii="Palatino Linotype" w:eastAsia="Palatino Linotype" w:hAnsi="Palatino Linotype" w:cs="Palatino Linotype"/>
          <w:b/>
          <w:i/>
          <w:sz w:val="21"/>
          <w:szCs w:val="21"/>
        </w:rPr>
        <w:t>: Toda</w:t>
      </w: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</w:rPr>
        <w:t xml:space="preserve"> aquella persona que desempeñe un empleo, cargo o comisión en alguno de los poderes del Estado, en los municipios y organismos auxiliares, así como los titulares o quienes hagan sus veces en empresas de participación estatal o municipal, sociedades o asociaciones asimiladas a éstas, en los fideicomisos públicos y en los órganos autónomos...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”. [Sic]</w:t>
      </w: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  <w:u w:val="singl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Motivo por el cual, no pueden ser considerados como personas físicas, derivado  del vínculo laboral con los Sujetos Obligados, ya que ellos son quienes deben transparentar la información.</w:t>
      </w: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b) El Ayuntamiento de </w:t>
      </w:r>
      <w:proofErr w:type="spellStart"/>
      <w:r w:rsidRPr="00AD334F">
        <w:rPr>
          <w:rFonts w:ascii="Palatino Linotype" w:eastAsia="Palatino Linotype" w:hAnsi="Palatino Linotype" w:cs="Palatino Linotype"/>
          <w:sz w:val="21"/>
          <w:szCs w:val="21"/>
        </w:rPr>
        <w:t>Chiconcuac</w:t>
      </w:r>
      <w:proofErr w:type="spellEnd"/>
      <w:r w:rsidRPr="00AD334F">
        <w:rPr>
          <w:rFonts w:ascii="Palatino Linotype" w:eastAsia="Palatino Linotype" w:hAnsi="Palatino Linotype" w:cs="Palatino Linotype"/>
          <w:sz w:val="21"/>
          <w:szCs w:val="21"/>
        </w:rPr>
        <w:t>, señaló haber otorgado recursos a servidores público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s de acuerdo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al artículo 3 fracción XXXVIII  de la Ley de Transparencia Local señala que: “</w:t>
      </w: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</w:rPr>
        <w:t>Servidores públicos:  Toda aquella persona que desempeñe un empleo, cargo o comisión en alguno de los poderes del Estado, en los municipios y organismos auxiliares, así como los titulares o quienes hagan sus veces en empresas de participación estatal o municipal, sociedades o asociaciones asimiladas a éstas, en los fideicomisos públicos y en los órganos autónomos...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”. [Sic]</w:t>
      </w: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  <w:u w:val="singl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Motivo por el cual, no pueden ser considerados como personas físicas, derivado  del vínculo laboral con los Sujetos Obligados, ya que ellos son quienes deben transparentar la información.</w:t>
      </w:r>
    </w:p>
    <w:p w:rsidR="00B40B86" w:rsidRPr="00AD334F" w:rsidRDefault="00F33111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bookmarkStart w:id="0" w:name="_heading=h.30j0zll" w:colFirst="0" w:colLast="0"/>
      <w:bookmarkEnd w:id="0"/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c)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El ayuntamiento de San José del Rincón y el 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Tecnológico de Estudios Superiores de Ixtapaluca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, solicitaron poner a disposición del público de manera permanente y actualizada, el padrón de contratistas y proveedores,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sin embargo, es una obligación de transparencia, contenida en el artículo 92 fracción XXXVI de la Ley de Transparencia Local, que a la letra señala: “</w:t>
      </w: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</w:rPr>
        <w:t>Los sujetos obligados deberán poner a disposición del público de manera permanente y actualizada de forma sencilla, precisa y entendible, en los respectivos medios electrónicos, de acuerdo con sus facultades, atribuciones, funciones u objeto social, según corresponda, la información, por lo menos, de los temas, documentos y políticas que a continuación se señalan”… XXXVI. Padrón de proveedores y contratistas;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[Sic]</w:t>
      </w:r>
    </w:p>
    <w:p w:rsidR="00B40B86" w:rsidRPr="00AD334F" w:rsidRDefault="00B40B86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  <w:u w:val="singl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Motivo por el cual, no pueden ser considerados como personas físicas, al ser una obligación común de transparencia con la que cuenta el Sujeto Obligado.</w:t>
      </w:r>
    </w:p>
    <w:p w:rsidR="00B40B86" w:rsidRPr="00AD334F" w:rsidRDefault="00B40B86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d)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Los Ayuntamientos de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</w:t>
      </w:r>
      <w:proofErr w:type="spellStart"/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Tonatico</w:t>
      </w:r>
      <w:proofErr w:type="spellEnd"/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 y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Tepotzotlán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, consideraron a sus organismos descentralizados como parte del listado de personas físicas (</w:t>
      </w:r>
      <w:r w:rsidRPr="00AD334F">
        <w:rPr>
          <w:rFonts w:ascii="Palatino Linotype" w:eastAsia="Palatino Linotype" w:hAnsi="Palatino Linotype" w:cs="Palatino Linotype"/>
          <w:b/>
          <w:color w:val="000000"/>
          <w:sz w:val="21"/>
          <w:szCs w:val="21"/>
        </w:rPr>
        <w:t xml:space="preserve">Sistema Municipal DIF e Instituto Municipales de Cultura Física y Deporte (IMCUFIDE),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>sin embargo, es importante establecer que los mismos pertenecen a su estructura; atento a ello, la Ley</w:t>
      </w:r>
      <w:r w:rsidRPr="00AD334F">
        <w:rPr>
          <w:rFonts w:ascii="Palatino Linotype" w:eastAsia="Palatino Linotype" w:hAnsi="Palatino Linotype" w:cs="Palatino Linotype"/>
          <w:b/>
          <w:color w:val="000000"/>
          <w:sz w:val="21"/>
          <w:szCs w:val="21"/>
        </w:rPr>
        <w:t xml:space="preserve"> 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Orgánica Municipal del Estado de México en su artículo 89 párrafo I, establece que: </w:t>
      </w:r>
      <w:r w:rsidRPr="00AD334F">
        <w:rPr>
          <w:rFonts w:ascii="Palatino Linotype" w:eastAsia="Palatino Linotype" w:hAnsi="Palatino Linotype" w:cs="Palatino Linotype"/>
          <w:i/>
          <w:color w:val="000000"/>
          <w:sz w:val="21"/>
          <w:szCs w:val="21"/>
        </w:rPr>
        <w:t xml:space="preserve"> “Las dependencias y entidades de la administración pública municipal, tales como organismos públicos descentralizados, empresas de participación mayoritaria y fideicomisos, ejercerán las funciones propias de su competencia previstas y serán responsables del ejercicio de las funciones propias de su competencia, en términos de la Ley o en los reglamentos o acuerdos expedidos por los ayuntamientos”.</w:t>
      </w:r>
      <w:r w:rsidRPr="00AD334F">
        <w:rPr>
          <w:rFonts w:ascii="Palatino Linotype" w:eastAsia="Palatino Linotype" w:hAnsi="Palatino Linotype" w:cs="Palatino Linotype"/>
          <w:color w:val="000000"/>
          <w:sz w:val="21"/>
          <w:szCs w:val="21"/>
        </w:rPr>
        <w:t xml:space="preserve"> [Sic]</w:t>
      </w:r>
    </w:p>
    <w:p w:rsidR="00B40B86" w:rsidRPr="00AD334F" w:rsidRDefault="00B40B86" w:rsidP="00AD334F">
      <w:pPr>
        <w:spacing w:after="0"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b/>
          <w:i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e) El 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Sistema Municipal para el Desarrollo Integral de la Familia de Tenango del Valle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, señaló mediante archivo electrónico, que otorgó recursos a servidores públicos, sin embargo, de acuerdo al artículo 3 fracción XXXVIII  de la Ley de Transparencia Local señala que: “</w:t>
      </w: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</w:rPr>
        <w:t>Servidores públicos:  Toda aquella persona que desempeñe un empleo, cargo o comisión en alguno de los poderes del Estado, en los municipios y organismos auxiliares, así como los titulares o quienes hagan sus veces en empresas de participación estatal o municipal, sociedades o asociaciones asimiladas a éstas, en los fideicomisos públicos y en los órganos autónomos...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 xml:space="preserve">”; por su parte 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la Ley del Trabajo de los Servidores Públicos del Estado de México y Municipios, señala en sus artículos 72 y 74, lo siguiente: </w:t>
      </w: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  <w:highlight w:val="white"/>
        </w:rPr>
        <w:t>“A trabajo igual, desempeñado en puesto, horario y condiciones de eficiencia, también iguales y sin distinción de sexo, corresponde sueldo igual, debiendo ser éste uniforme para cada uno de los puestos que ocupen los servidores públicos”.</w:t>
      </w: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>...</w:t>
      </w:r>
    </w:p>
    <w:p w:rsidR="00B40B86" w:rsidRPr="00AD334F" w:rsidRDefault="00F33111" w:rsidP="00AD334F">
      <w:pPr>
        <w:spacing w:line="276" w:lineRule="auto"/>
        <w:ind w:left="720"/>
        <w:jc w:val="both"/>
        <w:rPr>
          <w:rFonts w:ascii="Palatino Linotype" w:eastAsia="Palatino Linotype" w:hAnsi="Palatino Linotype" w:cs="Palatino Linotype"/>
          <w:sz w:val="21"/>
          <w:szCs w:val="21"/>
          <w:highlight w:val="white"/>
        </w:rPr>
      </w:pPr>
      <w:r w:rsidRPr="00AD334F">
        <w:rPr>
          <w:rFonts w:ascii="Palatino Linotype" w:eastAsia="Palatino Linotype" w:hAnsi="Palatino Linotype" w:cs="Palatino Linotype"/>
          <w:b/>
          <w:i/>
          <w:sz w:val="21"/>
          <w:szCs w:val="21"/>
          <w:highlight w:val="white"/>
        </w:rPr>
        <w:t>El pago del sueldo de los servidores públicos será preferente a cualquier erogación que realicen las instituciones públicas o dependencias...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" </w:t>
      </w:r>
      <w:r w:rsidRPr="00AD334F">
        <w:rPr>
          <w:rFonts w:ascii="Palatino Linotype" w:eastAsia="Palatino Linotype" w:hAnsi="Palatino Linotype" w:cs="Palatino Linotype"/>
          <w:sz w:val="21"/>
          <w:szCs w:val="21"/>
        </w:rPr>
        <w:t>[Sic]</w:t>
      </w:r>
      <w:r w:rsidRPr="00AD334F">
        <w:rPr>
          <w:rFonts w:ascii="Palatino Linotype" w:eastAsia="Palatino Linotype" w:hAnsi="Palatino Linotype" w:cs="Palatino Linotype"/>
          <w:sz w:val="21"/>
          <w:szCs w:val="21"/>
          <w:highlight w:val="white"/>
        </w:rPr>
        <w:t xml:space="preserve"> </w:t>
      </w:r>
    </w:p>
    <w:p w:rsidR="00B40B86" w:rsidRPr="00AD334F" w:rsidRDefault="00F33111" w:rsidP="00AD334F">
      <w:pPr>
        <w:spacing w:line="276" w:lineRule="auto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Motivo por el cual, no pueden ser considerados como personas físicas, derivado  del vínculo laboral con los Sujetos Obligados, ya que ellos son quienes deben transparentar la información.</w:t>
      </w:r>
    </w:p>
    <w:p w:rsidR="00B40B86" w:rsidRPr="00AD334F" w:rsidRDefault="00F33111" w:rsidP="00AD334F">
      <w:pPr>
        <w:tabs>
          <w:tab w:val="left" w:pos="6765"/>
        </w:tabs>
        <w:spacing w:after="0" w:line="276" w:lineRule="auto"/>
        <w:ind w:right="49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 w:rsidRPr="00AD334F">
        <w:rPr>
          <w:rFonts w:ascii="Palatino Linotype" w:eastAsia="Palatino Linotype" w:hAnsi="Palatino Linotype" w:cs="Palatino Linotype"/>
          <w:sz w:val="21"/>
          <w:szCs w:val="21"/>
        </w:rPr>
        <w:t>De conformidad a lo antes expuesto, una vez analizadas las respuestas de los Sujetos Obligados, se estima que la información remitida, no cumple con los criterios para considerarse personas físicas o jurídico colectivas a las que por cualquier motivo asignaron recursos públicos o, en términos de las disposiciones jurídicas aplicables, realizan actos de autoridad; por lo tanto, no se cuenta con el listado enunciado en artículo 81 de la Ley General de Transparencia y Acceso al Información Pública, los artículos 27, 104 y 105 de la Ley de Transparencia Local, y el Anexo XIV personas físicas y morales que reciban y ejerzan recursos públicos o realicen actos de autoridad de los 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difundir los sujetos obligados en los portales de Internet y en la Plataforma Nacional de Transparencia.</w:t>
      </w:r>
    </w:p>
    <w:p w:rsidR="00B40B86" w:rsidRPr="00AD334F" w:rsidRDefault="00B40B86" w:rsidP="00AD334F">
      <w:pPr>
        <w:spacing w:line="276" w:lineRule="auto"/>
        <w:rPr>
          <w:rFonts w:ascii="Palatino Linotype" w:hAnsi="Palatino Linotype"/>
          <w:sz w:val="21"/>
          <w:szCs w:val="21"/>
        </w:rPr>
      </w:pPr>
      <w:bookmarkStart w:id="1" w:name="_GoBack"/>
      <w:bookmarkEnd w:id="1"/>
    </w:p>
    <w:sectPr w:rsidR="00B40B86" w:rsidRPr="00AD334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11" w:rsidRDefault="00F33111">
      <w:pPr>
        <w:spacing w:after="0" w:line="240" w:lineRule="auto"/>
      </w:pPr>
      <w:r>
        <w:separator/>
      </w:r>
    </w:p>
  </w:endnote>
  <w:endnote w:type="continuationSeparator" w:id="0">
    <w:p w:rsidR="00F33111" w:rsidRDefault="00F3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11" w:rsidRDefault="00F33111">
      <w:pPr>
        <w:spacing w:after="0" w:line="240" w:lineRule="auto"/>
      </w:pPr>
      <w:r>
        <w:separator/>
      </w:r>
    </w:p>
  </w:footnote>
  <w:footnote w:type="continuationSeparator" w:id="0">
    <w:p w:rsidR="00F33111" w:rsidRDefault="00F3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86" w:rsidRDefault="00F331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-1057273</wp:posOffset>
          </wp:positionH>
          <wp:positionV relativeFrom="paragraph">
            <wp:posOffset>-477517</wp:posOffset>
          </wp:positionV>
          <wp:extent cx="7756263" cy="10101221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6263" cy="10101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B86" w:rsidRDefault="00F331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139700</wp:posOffset>
              </wp:positionV>
              <wp:extent cx="4705350" cy="326781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2850" y="3626135"/>
                        <a:ext cx="4686300" cy="3077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334F" w:rsidRDefault="00AD334F" w:rsidP="00AD334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color w:val="222222"/>
                              <w:sz w:val="14"/>
                              <w:highlight w:val="white"/>
                            </w:rPr>
                            <w:t> 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color w:val="222222"/>
                              <w:sz w:val="18"/>
                              <w:highlight w:val="white"/>
                            </w:rPr>
                            <w:t> 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color w:val="222222"/>
                              <w:sz w:val="15"/>
                              <w:highlight w:val="white"/>
                            </w:rPr>
                            <w:t xml:space="preserve">“2022. Año del </w:t>
                          </w:r>
                          <w:proofErr w:type="spellStart"/>
                          <w:r>
                            <w:rPr>
                              <w:rFonts w:ascii="Palatino Linotype" w:eastAsia="Palatino Linotype" w:hAnsi="Palatino Linotype" w:cs="Palatino Linotype"/>
                              <w:color w:val="222222"/>
                              <w:sz w:val="15"/>
                              <w:highlight w:val="white"/>
                            </w:rPr>
                            <w:t>Quincentenario</w:t>
                          </w:r>
                          <w:proofErr w:type="spellEnd"/>
                          <w:r>
                            <w:rPr>
                              <w:rFonts w:ascii="Palatino Linotype" w:eastAsia="Palatino Linotype" w:hAnsi="Palatino Linotype" w:cs="Palatino Linotype"/>
                              <w:color w:val="222222"/>
                              <w:sz w:val="15"/>
                              <w:highlight w:val="white"/>
                            </w:rPr>
                            <w:t xml:space="preserve"> de Toluca, Capital del Estado de México”.</w:t>
                          </w:r>
                        </w:p>
                        <w:p w:rsidR="00B40B86" w:rsidRDefault="00B40B86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  <w:p w:rsidR="00B40B86" w:rsidRDefault="00B40B86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6" o:spid="_x0000_s1026" style="position:absolute;margin-left:96pt;margin-top:11pt;width:370.5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" filled="f" stroked="f">
              <v:textbox inset="2.53958mm,1.2694mm,2.53958mm,1.2694mm">
                <w:txbxContent>
                  <w:p w:rsidR="00AD334F" w:rsidRDefault="00AD334F" w:rsidP="00AD334F">
                    <w:pPr>
                      <w:jc w:val="right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color w:val="222222"/>
                        <w:sz w:val="14"/>
                        <w:highlight w:val="white"/>
                      </w:rPr>
                      <w:t> </w:t>
                    </w:r>
                    <w:r>
                      <w:rPr>
                        <w:rFonts w:ascii="Palatino Linotype" w:eastAsia="Palatino Linotype" w:hAnsi="Palatino Linotype" w:cs="Palatino Linotype"/>
                        <w:color w:val="222222"/>
                        <w:sz w:val="18"/>
                        <w:highlight w:val="white"/>
                      </w:rPr>
                      <w:t> </w:t>
                    </w:r>
                    <w:r>
                      <w:rPr>
                        <w:rFonts w:ascii="Palatino Linotype" w:eastAsia="Palatino Linotype" w:hAnsi="Palatino Linotype" w:cs="Palatino Linotype"/>
                        <w:color w:val="222222"/>
                        <w:sz w:val="15"/>
                        <w:highlight w:val="white"/>
                      </w:rPr>
                      <w:t xml:space="preserve">“2022. Año del </w:t>
                    </w:r>
                    <w:proofErr w:type="spellStart"/>
                    <w:r>
                      <w:rPr>
                        <w:rFonts w:ascii="Palatino Linotype" w:eastAsia="Palatino Linotype" w:hAnsi="Palatino Linotype" w:cs="Palatino Linotype"/>
                        <w:color w:val="222222"/>
                        <w:sz w:val="15"/>
                        <w:highlight w:val="white"/>
                      </w:rPr>
                      <w:t>Quincentenario</w:t>
                    </w:r>
                    <w:proofErr w:type="spellEnd"/>
                    <w:r>
                      <w:rPr>
                        <w:rFonts w:ascii="Palatino Linotype" w:eastAsia="Palatino Linotype" w:hAnsi="Palatino Linotype" w:cs="Palatino Linotype"/>
                        <w:color w:val="222222"/>
                        <w:sz w:val="15"/>
                        <w:highlight w:val="white"/>
                      </w:rPr>
                      <w:t xml:space="preserve"> de Toluca, Capital del Estado de México”.</w:t>
                    </w:r>
                  </w:p>
                  <w:p w:rsidR="00B40B86" w:rsidRDefault="00B40B86">
                    <w:pPr>
                      <w:spacing w:line="258" w:lineRule="auto"/>
                      <w:jc w:val="right"/>
                      <w:textDirection w:val="btLr"/>
                    </w:pPr>
                  </w:p>
                  <w:p w:rsidR="00B40B86" w:rsidRDefault="00B40B86">
                    <w:pPr>
                      <w:spacing w:line="258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</w:p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</w:p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</w:p>
  <w:p w:rsidR="00B40B86" w:rsidRDefault="00B40B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</w:p>
  <w:p w:rsidR="00B40B86" w:rsidRDefault="00F331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  <w:b/>
      </w:rPr>
      <w:t>DICTAMEN DEL LISTADO</w:t>
    </w:r>
    <w:r>
      <w:rPr>
        <w:rFonts w:ascii="Palatino Linotype" w:eastAsia="Palatino Linotype" w:hAnsi="Palatino Linotype" w:cs="Palatino Linotype"/>
        <w:b/>
        <w:color w:val="000000"/>
      </w:rPr>
      <w:t xml:space="preserve"> DE PERSONAS FÍSICAS Y </w:t>
    </w:r>
    <w:r>
      <w:rPr>
        <w:rFonts w:ascii="Palatino Linotype" w:eastAsia="Palatino Linotype" w:hAnsi="Palatino Linotype" w:cs="Palatino Linotype"/>
        <w:b/>
      </w:rPr>
      <w:t>JURÍDICO</w:t>
    </w:r>
    <w:r>
      <w:rPr>
        <w:rFonts w:ascii="Palatino Linotype" w:eastAsia="Palatino Linotype" w:hAnsi="Palatino Linotype" w:cs="Palatino Linotype"/>
        <w:b/>
        <w:color w:val="000000"/>
      </w:rPr>
      <w:t xml:space="preserve"> COLECTIVAS QUE RECIBEN Y EJERCEN RECURSOS PÚBLICOS Y/O REALIZAN ACTOS DE AUTORIDAD CORRESPONDIENTE AL EJERCICIO FISCAL 202</w:t>
    </w:r>
    <w:r>
      <w:rPr>
        <w:rFonts w:ascii="Palatino Linotype" w:eastAsia="Palatino Linotype" w:hAnsi="Palatino Linotype" w:cs="Palatino Linotype"/>
        <w:b/>
      </w:rPr>
      <w:t>2</w:t>
    </w:r>
  </w:p>
  <w:p w:rsidR="00B40B86" w:rsidRDefault="00F331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4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6D5"/>
    <w:multiLevelType w:val="multilevel"/>
    <w:tmpl w:val="B08ED7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3A91D50"/>
    <w:multiLevelType w:val="multilevel"/>
    <w:tmpl w:val="5B22C0BE"/>
    <w:lvl w:ilvl="0">
      <w:start w:val="1"/>
      <w:numFmt w:val="lowerLetter"/>
      <w:lvlText w:val="%1)"/>
      <w:lvlJc w:val="left"/>
      <w:pPr>
        <w:ind w:left="36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E1A0245"/>
    <w:multiLevelType w:val="multilevel"/>
    <w:tmpl w:val="61CC53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B51156"/>
    <w:multiLevelType w:val="multilevel"/>
    <w:tmpl w:val="6BE2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547776"/>
    <w:multiLevelType w:val="multilevel"/>
    <w:tmpl w:val="81A2A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EA752C"/>
    <w:multiLevelType w:val="multilevel"/>
    <w:tmpl w:val="CE7CE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86"/>
    <w:rsid w:val="006C4356"/>
    <w:rsid w:val="00881B25"/>
    <w:rsid w:val="009007F3"/>
    <w:rsid w:val="00AD334F"/>
    <w:rsid w:val="00B31936"/>
    <w:rsid w:val="00B40B86"/>
    <w:rsid w:val="00CF457A"/>
    <w:rsid w:val="00F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61AA28-0870-4BFF-AAE3-B8EB2E81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B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F08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7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3F9"/>
  </w:style>
  <w:style w:type="paragraph" w:styleId="Piedepgina">
    <w:name w:val="footer"/>
    <w:basedOn w:val="Normal"/>
    <w:link w:val="PiedepginaCar"/>
    <w:uiPriority w:val="99"/>
    <w:unhideWhenUsed/>
    <w:rsid w:val="00897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3F9"/>
  </w:style>
  <w:style w:type="table" w:styleId="Tablaconcuadrcula">
    <w:name w:val="Table Grid"/>
    <w:basedOn w:val="Tablanormal"/>
    <w:uiPriority w:val="39"/>
    <w:rsid w:val="001273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C1B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1B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1B28"/>
    <w:rPr>
      <w:rFonts w:ascii="Calibri" w:eastAsia="Calibri" w:hAnsi="Calibri" w:cs="Calibr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1B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1B28"/>
    <w:rPr>
      <w:rFonts w:ascii="Calibri" w:eastAsia="Calibri" w:hAnsi="Calibri" w:cs="Calibri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B28"/>
    <w:rPr>
      <w:rFonts w:ascii="Tahoma" w:eastAsia="Calibri" w:hAnsi="Tahoma" w:cs="Tahoma"/>
      <w:sz w:val="16"/>
      <w:szCs w:val="16"/>
      <w:lang w:eastAsia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omex.org.mx/ipo3/lgt/indice/UTSEM/art_92_xx_b/3.w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0PPzzJudmwmHLUndTKhH/epWA==">AMUW2mUaMKj/1UWMVijaquoYqlF+yIwnoPURuCQSjqL3WIQv83ib3XV5w/ndwFxFjd9iKpQkTwm92N/n/4+AHNVN8dy6hMsH/ML2cMMywcFgy+v/PrDsAI7rLwADfOwp7ilhxCKAitdm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fany vieyra</cp:lastModifiedBy>
  <cp:revision>2</cp:revision>
  <cp:lastPrinted>2022-03-11T23:55:00Z</cp:lastPrinted>
  <dcterms:created xsi:type="dcterms:W3CDTF">2022-03-12T02:11:00Z</dcterms:created>
  <dcterms:modified xsi:type="dcterms:W3CDTF">2022-03-12T02:11:00Z</dcterms:modified>
</cp:coreProperties>
</file>