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C50F9" w14:textId="77777777" w:rsidR="00A17147" w:rsidRDefault="00853C93">
      <w:pPr>
        <w:pBdr>
          <w:top w:val="nil"/>
          <w:left w:val="nil"/>
          <w:bottom w:val="nil"/>
          <w:right w:val="nil"/>
          <w:between w:val="nil"/>
        </w:pBdr>
        <w:spacing w:after="0" w:line="24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COMPROMISO PROACTIVO DEL INFOEM</w:t>
      </w:r>
    </w:p>
    <w:p w14:paraId="538B4F6D" w14:textId="77777777" w:rsidR="00A17147" w:rsidRDefault="00853C93">
      <w:pPr>
        <w:pBdr>
          <w:top w:val="nil"/>
          <w:left w:val="nil"/>
          <w:bottom w:val="nil"/>
          <w:right w:val="nil"/>
          <w:between w:val="nil"/>
        </w:pBdr>
        <w:spacing w:after="0" w:line="24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EN MATERIA DE GOBIERNO ABIERTO</w:t>
      </w:r>
    </w:p>
    <w:p w14:paraId="2272F9D1" w14:textId="77777777" w:rsidR="00A17147" w:rsidRDefault="00A17147">
      <w:pPr>
        <w:pBdr>
          <w:top w:val="nil"/>
          <w:left w:val="nil"/>
          <w:bottom w:val="nil"/>
          <w:right w:val="nil"/>
          <w:between w:val="nil"/>
        </w:pBdr>
        <w:spacing w:after="0" w:line="240" w:lineRule="auto"/>
        <w:jc w:val="center"/>
        <w:rPr>
          <w:rFonts w:ascii="Palatino Linotype" w:eastAsia="Palatino Linotype" w:hAnsi="Palatino Linotype" w:cs="Palatino Linotype"/>
          <w:color w:val="000000"/>
        </w:rPr>
      </w:pPr>
    </w:p>
    <w:p w14:paraId="2FE68C03"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LÍNEA DE ACCIÓN 1: Construir un estudio de las condiciones de apertura institucional a nivel municipal.</w:t>
      </w:r>
    </w:p>
    <w:p w14:paraId="3A9614B3" w14:textId="77777777" w:rsidR="00A17147" w:rsidRDefault="00A17147">
      <w:pPr>
        <w:pBdr>
          <w:top w:val="nil"/>
          <w:left w:val="nil"/>
          <w:bottom w:val="nil"/>
          <w:right w:val="nil"/>
          <w:between w:val="nil"/>
        </w:pBdr>
        <w:spacing w:after="0" w:line="240" w:lineRule="auto"/>
        <w:rPr>
          <w:rFonts w:ascii="Palatino Linotype" w:eastAsia="Palatino Linotype" w:hAnsi="Palatino Linotype" w:cs="Palatino Linotype"/>
          <w:color w:val="000000"/>
        </w:rPr>
      </w:pPr>
    </w:p>
    <w:p w14:paraId="2AA4E70D" w14:textId="77777777" w:rsidR="00A17147" w:rsidRDefault="00853C93">
      <w:pPr>
        <w:pBdr>
          <w:top w:val="nil"/>
          <w:left w:val="nil"/>
          <w:bottom w:val="nil"/>
          <w:right w:val="nil"/>
          <w:between w:val="nil"/>
        </w:pBdr>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INTRODUCCIÓN</w:t>
      </w:r>
    </w:p>
    <w:p w14:paraId="34C36181" w14:textId="401ACAD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Los esfuerzos por articular una agenda de gobierno abierto en el ámbito municipal </w:t>
      </w:r>
      <w:r w:rsidR="008672ED">
        <w:rPr>
          <w:rFonts w:ascii="Palatino Linotype" w:eastAsia="Palatino Linotype" w:hAnsi="Palatino Linotype" w:cs="Palatino Linotype"/>
        </w:rPr>
        <w:t>pasan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necesaria</w:t>
      </w:r>
      <w:r>
        <w:rPr>
          <w:rFonts w:ascii="Palatino Linotype" w:eastAsia="Palatino Linotype" w:hAnsi="Palatino Linotype" w:cs="Palatino Linotype"/>
          <w:color w:val="000000"/>
        </w:rPr>
        <w:t>mente,</w:t>
      </w:r>
      <w:r w:rsidR="008672ED">
        <w:rPr>
          <w:rFonts w:ascii="Palatino Linotype" w:eastAsia="Palatino Linotype" w:hAnsi="Palatino Linotype" w:cs="Palatino Linotype"/>
          <w:color w:val="000000"/>
        </w:rPr>
        <w:t xml:space="preserve"> por</w:t>
      </w:r>
      <w:r>
        <w:rPr>
          <w:rFonts w:ascii="Palatino Linotype" w:eastAsia="Palatino Linotype" w:hAnsi="Palatino Linotype" w:cs="Palatino Linotype"/>
          <w:color w:val="000000"/>
        </w:rPr>
        <w:t xml:space="preserve"> conocer e identificar las diferentes realidades </w:t>
      </w:r>
      <w:r w:rsidR="008672ED">
        <w:rPr>
          <w:rFonts w:ascii="Palatino Linotype" w:eastAsia="Palatino Linotype" w:hAnsi="Palatino Linotype" w:cs="Palatino Linotype"/>
          <w:color w:val="000000"/>
        </w:rPr>
        <w:t>existentes en este nivel de gobierno, respecto de las condiciones que permiten, o no, la</w:t>
      </w:r>
      <w:r>
        <w:rPr>
          <w:rFonts w:ascii="Palatino Linotype" w:eastAsia="Palatino Linotype" w:hAnsi="Palatino Linotype" w:cs="Palatino Linotype"/>
          <w:color w:val="000000"/>
        </w:rPr>
        <w:t xml:space="preserve"> implementa</w:t>
      </w:r>
      <w:r w:rsidR="008672ED">
        <w:rPr>
          <w:rFonts w:ascii="Palatino Linotype" w:eastAsia="Palatino Linotype" w:hAnsi="Palatino Linotype" w:cs="Palatino Linotype"/>
          <w:color w:val="000000"/>
        </w:rPr>
        <w:t>ción de</w:t>
      </w:r>
      <w:r>
        <w:rPr>
          <w:rFonts w:ascii="Palatino Linotype" w:eastAsia="Palatino Linotype" w:hAnsi="Palatino Linotype" w:cs="Palatino Linotype"/>
          <w:color w:val="000000"/>
        </w:rPr>
        <w:t xml:space="preserve"> acciones </w:t>
      </w:r>
      <w:r>
        <w:rPr>
          <w:rFonts w:ascii="Palatino Linotype" w:eastAsia="Palatino Linotype" w:hAnsi="Palatino Linotype" w:cs="Palatino Linotype"/>
        </w:rPr>
        <w:t xml:space="preserve">encaminadas </w:t>
      </w:r>
      <w:r>
        <w:rPr>
          <w:rFonts w:ascii="Palatino Linotype" w:eastAsia="Palatino Linotype" w:hAnsi="Palatino Linotype" w:cs="Palatino Linotype"/>
          <w:color w:val="000000"/>
        </w:rPr>
        <w:t xml:space="preserve">a </w:t>
      </w:r>
      <w:r w:rsidR="008672ED">
        <w:rPr>
          <w:rFonts w:ascii="Palatino Linotype" w:eastAsia="Palatino Linotype" w:hAnsi="Palatino Linotype" w:cs="Palatino Linotype"/>
          <w:color w:val="000000"/>
        </w:rPr>
        <w:t>construir una</w:t>
      </w:r>
      <w:r>
        <w:rPr>
          <w:rFonts w:ascii="Palatino Linotype" w:eastAsia="Palatino Linotype" w:hAnsi="Palatino Linotype" w:cs="Palatino Linotype"/>
          <w:color w:val="000000"/>
        </w:rPr>
        <w:t xml:space="preserve"> política pública basada en la transparencia, la participación y la colaboración. </w:t>
      </w:r>
    </w:p>
    <w:p w14:paraId="46805560"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p w14:paraId="4458109A"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Tal y como ha sido señalado en la literatura al respecto (Heikkila y Gerlak, 2021; Morales y Ramírez, 2021; Oszlak, 2019; Zaremberg y Martínez, 2020), las políticas públicas requieren ser elaboradas a partir del reconocimiento de </w:t>
      </w:r>
      <w:r>
        <w:rPr>
          <w:rFonts w:ascii="Palatino Linotype" w:eastAsia="Palatino Linotype" w:hAnsi="Palatino Linotype" w:cs="Palatino Linotype"/>
        </w:rPr>
        <w:t>límites</w:t>
      </w:r>
      <w:r>
        <w:rPr>
          <w:rFonts w:ascii="Palatino Linotype" w:eastAsia="Palatino Linotype" w:hAnsi="Palatino Linotype" w:cs="Palatino Linotype"/>
          <w:color w:val="000000"/>
        </w:rPr>
        <w:t xml:space="preserve"> institucionales que plantean las funciones y atribuciones de las autoridades y que, al mismo tiempo, </w:t>
      </w:r>
      <w:r>
        <w:rPr>
          <w:rFonts w:ascii="Palatino Linotype" w:eastAsia="Palatino Linotype" w:hAnsi="Palatino Linotype" w:cs="Palatino Linotype"/>
        </w:rPr>
        <w:t xml:space="preserve">enmarcan </w:t>
      </w:r>
      <w:r>
        <w:rPr>
          <w:rFonts w:ascii="Palatino Linotype" w:eastAsia="Palatino Linotype" w:hAnsi="Palatino Linotype" w:cs="Palatino Linotype"/>
          <w:color w:val="000000"/>
        </w:rPr>
        <w:t>las posibles áreas en las que los ciudadanos pued</w:t>
      </w:r>
      <w:r>
        <w:rPr>
          <w:rFonts w:ascii="Palatino Linotype" w:eastAsia="Palatino Linotype" w:hAnsi="Palatino Linotype" w:cs="Palatino Linotype"/>
        </w:rPr>
        <w:t>a</w:t>
      </w:r>
      <w:r>
        <w:rPr>
          <w:rFonts w:ascii="Palatino Linotype" w:eastAsia="Palatino Linotype" w:hAnsi="Palatino Linotype" w:cs="Palatino Linotype"/>
          <w:color w:val="000000"/>
        </w:rPr>
        <w:t xml:space="preserve">n </w:t>
      </w:r>
      <w:r>
        <w:rPr>
          <w:rFonts w:ascii="Palatino Linotype" w:eastAsia="Palatino Linotype" w:hAnsi="Palatino Linotype" w:cs="Palatino Linotype"/>
        </w:rPr>
        <w:t>participar</w:t>
      </w:r>
      <w:r>
        <w:rPr>
          <w:rFonts w:ascii="Palatino Linotype" w:eastAsia="Palatino Linotype" w:hAnsi="Palatino Linotype" w:cs="Palatino Linotype"/>
          <w:color w:val="000000"/>
        </w:rPr>
        <w:t xml:space="preserve"> en las diferentes etapas de su ejecución. En ese sentido, vale la pena señalar que un óptimo ejercicio que se </w:t>
      </w:r>
      <w:r>
        <w:rPr>
          <w:rFonts w:ascii="Palatino Linotype" w:eastAsia="Palatino Linotype" w:hAnsi="Palatino Linotype" w:cs="Palatino Linotype"/>
        </w:rPr>
        <w:t xml:space="preserve">proponga </w:t>
      </w:r>
      <w:r>
        <w:rPr>
          <w:rFonts w:ascii="Palatino Linotype" w:eastAsia="Palatino Linotype" w:hAnsi="Palatino Linotype" w:cs="Palatino Linotype"/>
          <w:color w:val="000000"/>
        </w:rPr>
        <w:t xml:space="preserve">como primer paso hacia una nueva forma de interacción e integración en la toma de decisiones colectivas, requiere de un enfoque distinto a aquel que </w:t>
      </w:r>
      <w:r>
        <w:rPr>
          <w:rFonts w:ascii="Palatino Linotype" w:eastAsia="Palatino Linotype" w:hAnsi="Palatino Linotype" w:cs="Palatino Linotype"/>
        </w:rPr>
        <w:t xml:space="preserve">acepta </w:t>
      </w:r>
      <w:r>
        <w:rPr>
          <w:rFonts w:ascii="Palatino Linotype" w:eastAsia="Palatino Linotype" w:hAnsi="Palatino Linotype" w:cs="Palatino Linotype"/>
          <w:color w:val="000000"/>
        </w:rPr>
        <w:t xml:space="preserve">que las soluciones públicas son resultado de análisis </w:t>
      </w:r>
      <w:r>
        <w:rPr>
          <w:rFonts w:ascii="Palatino Linotype" w:eastAsia="Palatino Linotype" w:hAnsi="Palatino Linotype" w:cs="Palatino Linotype"/>
        </w:rPr>
        <w:t>parciales</w:t>
      </w:r>
      <w:r>
        <w:rPr>
          <w:rFonts w:ascii="Palatino Linotype" w:eastAsia="Palatino Linotype" w:hAnsi="Palatino Linotype" w:cs="Palatino Linotype"/>
          <w:color w:val="000000"/>
        </w:rPr>
        <w:t xml:space="preserve">, para transitar hacia esquemas de horizontalidad en donde la corresponsabilidad y la co creación son ingredientes que </w:t>
      </w:r>
      <w:r>
        <w:rPr>
          <w:rFonts w:ascii="Palatino Linotype" w:eastAsia="Palatino Linotype" w:hAnsi="Palatino Linotype" w:cs="Palatino Linotype"/>
        </w:rPr>
        <w:t xml:space="preserve">ponen en marcha </w:t>
      </w:r>
      <w:r>
        <w:rPr>
          <w:rFonts w:ascii="Palatino Linotype" w:eastAsia="Palatino Linotype" w:hAnsi="Palatino Linotype" w:cs="Palatino Linotype"/>
          <w:color w:val="000000"/>
        </w:rPr>
        <w:t xml:space="preserve">alternativas viables e innovadoras (Arroyo, 2017; </w:t>
      </w:r>
      <w:r>
        <w:rPr>
          <w:rFonts w:ascii="Palatino Linotype" w:eastAsia="Palatino Linotype" w:hAnsi="Palatino Linotype" w:cs="Palatino Linotype"/>
        </w:rPr>
        <w:t>Uvalle</w:t>
      </w:r>
      <w:r>
        <w:rPr>
          <w:rFonts w:ascii="Palatino Linotype" w:eastAsia="Palatino Linotype" w:hAnsi="Palatino Linotype" w:cs="Palatino Linotype"/>
          <w:color w:val="000000"/>
        </w:rPr>
        <w:t xml:space="preserve">, 2016). </w:t>
      </w:r>
    </w:p>
    <w:p w14:paraId="0181BDCA"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p w14:paraId="695A99B0"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Bajo es</w:t>
      </w:r>
      <w:r>
        <w:rPr>
          <w:rFonts w:ascii="Palatino Linotype" w:eastAsia="Palatino Linotype" w:hAnsi="Palatino Linotype" w:cs="Palatino Linotype"/>
        </w:rPr>
        <w:t>e</w:t>
      </w:r>
      <w:r>
        <w:rPr>
          <w:rFonts w:ascii="Palatino Linotype" w:eastAsia="Palatino Linotype" w:hAnsi="Palatino Linotype" w:cs="Palatino Linotype"/>
          <w:color w:val="000000"/>
        </w:rPr>
        <w:t xml:space="preserve"> p</w:t>
      </w:r>
      <w:r>
        <w:rPr>
          <w:rFonts w:ascii="Palatino Linotype" w:eastAsia="Palatino Linotype" w:hAnsi="Palatino Linotype" w:cs="Palatino Linotype"/>
        </w:rPr>
        <w:t>anoram</w:t>
      </w:r>
      <w:r>
        <w:rPr>
          <w:rFonts w:ascii="Palatino Linotype" w:eastAsia="Palatino Linotype" w:hAnsi="Palatino Linotype" w:cs="Palatino Linotype"/>
          <w:color w:val="000000"/>
        </w:rPr>
        <w:t xml:space="preserve">a, el estudio que aquí se presenta pretende </w:t>
      </w:r>
      <w:r>
        <w:rPr>
          <w:rFonts w:ascii="Palatino Linotype" w:eastAsia="Palatino Linotype" w:hAnsi="Palatino Linotype" w:cs="Palatino Linotype"/>
        </w:rPr>
        <w:t xml:space="preserve">aportar </w:t>
      </w:r>
      <w:r>
        <w:rPr>
          <w:rFonts w:ascii="Palatino Linotype" w:eastAsia="Palatino Linotype" w:hAnsi="Palatino Linotype" w:cs="Palatino Linotype"/>
          <w:color w:val="000000"/>
        </w:rPr>
        <w:t xml:space="preserve">a los primeros esfuerzos concentrados en el Estado de México que den luz sobre las circunstancias específicas de los municipios que lo conforman para saber en qué condiciones podría operar una política de apertura gubernamental. Se trata, </w:t>
      </w:r>
      <w:r>
        <w:rPr>
          <w:rFonts w:ascii="Palatino Linotype" w:eastAsia="Palatino Linotype" w:hAnsi="Palatino Linotype" w:cs="Palatino Linotype"/>
        </w:rPr>
        <w:t>por tanto</w:t>
      </w:r>
      <w:r>
        <w:rPr>
          <w:rFonts w:ascii="Palatino Linotype" w:eastAsia="Palatino Linotype" w:hAnsi="Palatino Linotype" w:cs="Palatino Linotype"/>
          <w:color w:val="000000"/>
        </w:rPr>
        <w:t xml:space="preserve">, de un trabajo con </w:t>
      </w:r>
      <w:r>
        <w:rPr>
          <w:rFonts w:ascii="Palatino Linotype" w:eastAsia="Palatino Linotype" w:hAnsi="Palatino Linotype" w:cs="Palatino Linotype"/>
        </w:rPr>
        <w:t xml:space="preserve">intención de describir, </w:t>
      </w:r>
      <w:r>
        <w:rPr>
          <w:rFonts w:ascii="Palatino Linotype" w:eastAsia="Palatino Linotype" w:hAnsi="Palatino Linotype" w:cs="Palatino Linotype"/>
          <w:color w:val="000000"/>
        </w:rPr>
        <w:t>que tiene como base la información reportada por 117 ayuntamientos</w:t>
      </w:r>
      <w:r>
        <w:rPr>
          <w:rFonts w:ascii="Palatino Linotype" w:eastAsia="Palatino Linotype" w:hAnsi="Palatino Linotype" w:cs="Palatino Linotype"/>
          <w:color w:val="000000"/>
          <w:vertAlign w:val="superscript"/>
        </w:rPr>
        <w:footnoteReference w:id="1"/>
      </w:r>
      <w:r>
        <w:rPr>
          <w:rFonts w:ascii="Palatino Linotype" w:eastAsia="Palatino Linotype" w:hAnsi="Palatino Linotype" w:cs="Palatino Linotype"/>
          <w:color w:val="000000"/>
        </w:rPr>
        <w:t xml:space="preserve">, desagregada en cinco dimensiones: Normatividad, Participación Ciudadana, Transparencia, Rendición de cuentas y Tecnologías de la Información y Comunicación (TIC’s). </w:t>
      </w:r>
    </w:p>
    <w:p w14:paraId="53C6F4B1"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p w14:paraId="12A603FE"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Dichos módulos se identificaron a partir de una revisión a la </w:t>
      </w:r>
      <w:r>
        <w:rPr>
          <w:rFonts w:ascii="Palatino Linotype" w:eastAsia="Palatino Linotype" w:hAnsi="Palatino Linotype" w:cs="Palatino Linotype"/>
        </w:rPr>
        <w:t>documentación referida</w:t>
      </w:r>
      <w:r>
        <w:rPr>
          <w:rFonts w:ascii="Palatino Linotype" w:eastAsia="Palatino Linotype" w:hAnsi="Palatino Linotype" w:cs="Palatino Linotype"/>
          <w:color w:val="000000"/>
          <w:vertAlign w:val="superscript"/>
        </w:rPr>
        <w:footnoteReference w:id="2"/>
      </w:r>
      <w:r>
        <w:rPr>
          <w:rFonts w:ascii="Palatino Linotype" w:eastAsia="Palatino Linotype" w:hAnsi="Palatino Linotype" w:cs="Palatino Linotype"/>
          <w:color w:val="000000"/>
        </w:rPr>
        <w:t xml:space="preserve"> y otros instrumentos de similar alcance</w:t>
      </w:r>
      <w:r>
        <w:rPr>
          <w:rFonts w:ascii="Palatino Linotype" w:eastAsia="Palatino Linotype" w:hAnsi="Palatino Linotype" w:cs="Palatino Linotype"/>
          <w:color w:val="000000"/>
          <w:vertAlign w:val="superscript"/>
        </w:rPr>
        <w:footnoteReference w:id="3"/>
      </w:r>
      <w:r>
        <w:rPr>
          <w:rFonts w:ascii="Palatino Linotype" w:eastAsia="Palatino Linotype" w:hAnsi="Palatino Linotype" w:cs="Palatino Linotype"/>
          <w:color w:val="000000"/>
        </w:rPr>
        <w:t>, así como resultado de las mesas de trabajo que se celebraron con diferentes representantes de sociedad civil</w:t>
      </w:r>
      <w:r>
        <w:rPr>
          <w:rFonts w:ascii="Palatino Linotype" w:eastAsia="Palatino Linotype" w:hAnsi="Palatino Linotype" w:cs="Palatino Linotype"/>
          <w:color w:val="000000"/>
          <w:vertAlign w:val="superscript"/>
        </w:rPr>
        <w:footnoteReference w:id="4"/>
      </w:r>
      <w:r>
        <w:rPr>
          <w:rFonts w:ascii="Palatino Linotype" w:eastAsia="Palatino Linotype" w:hAnsi="Palatino Linotype" w:cs="Palatino Linotype"/>
          <w:color w:val="000000"/>
        </w:rPr>
        <w:t xml:space="preserve"> que respondieron a la convocatoria emitida por el Instituto de Transparencia, Acceso a la Información Pública y Protección de Datos Personales del Estado de México y Municipios (Infoem). </w:t>
      </w:r>
      <w:r>
        <w:rPr>
          <w:rFonts w:ascii="Palatino Linotype" w:eastAsia="Palatino Linotype" w:hAnsi="Palatino Linotype" w:cs="Palatino Linotype"/>
        </w:rPr>
        <w:t>Lo que resulta</w:t>
      </w:r>
      <w:r>
        <w:rPr>
          <w:rFonts w:ascii="Palatino Linotype" w:eastAsia="Palatino Linotype" w:hAnsi="Palatino Linotype" w:cs="Palatino Linotype"/>
          <w:color w:val="000000"/>
        </w:rPr>
        <w:t xml:space="preserve"> un esfuerzo colaborativo que puede servir para futuras investigaciones como un acercamiento primigenio a esta realidad mexiquense. </w:t>
      </w:r>
    </w:p>
    <w:p w14:paraId="05F3EB03"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p w14:paraId="798B8D5B"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estudio se presenta en los cinco apartados que conforman el cuestionario remitido a los municipios para conservar la misma estructura que dicho documento. Inicialmente se comparten los resultados estadísticos de l</w:t>
      </w:r>
      <w:r>
        <w:rPr>
          <w:rFonts w:ascii="Palatino Linotype" w:eastAsia="Palatino Linotype" w:hAnsi="Palatino Linotype" w:cs="Palatino Linotype"/>
        </w:rPr>
        <w:t>a</w:t>
      </w:r>
      <w:r>
        <w:rPr>
          <w:rFonts w:ascii="Palatino Linotype" w:eastAsia="Palatino Linotype" w:hAnsi="Palatino Linotype" w:cs="Palatino Linotype"/>
          <w:color w:val="000000"/>
        </w:rPr>
        <w:t xml:space="preserve">s </w:t>
      </w:r>
      <w:r>
        <w:rPr>
          <w:rFonts w:ascii="Palatino Linotype" w:eastAsia="Palatino Linotype" w:hAnsi="Palatino Linotype" w:cs="Palatino Linotype"/>
        </w:rPr>
        <w:t>preguntas</w:t>
      </w:r>
      <w:r>
        <w:rPr>
          <w:rFonts w:ascii="Palatino Linotype" w:eastAsia="Palatino Linotype" w:hAnsi="Palatino Linotype" w:cs="Palatino Linotype"/>
          <w:color w:val="000000"/>
        </w:rPr>
        <w:t xml:space="preserve"> aplicad</w:t>
      </w:r>
      <w:r>
        <w:rPr>
          <w:rFonts w:ascii="Palatino Linotype" w:eastAsia="Palatino Linotype" w:hAnsi="Palatino Linotype" w:cs="Palatino Linotype"/>
        </w:rPr>
        <w:t>a</w:t>
      </w:r>
      <w:r>
        <w:rPr>
          <w:rFonts w:ascii="Palatino Linotype" w:eastAsia="Palatino Linotype" w:hAnsi="Palatino Linotype" w:cs="Palatino Linotype"/>
          <w:color w:val="000000"/>
        </w:rPr>
        <w:t xml:space="preserve">s para, en un segundo momento, ofrecer algunas aproximaciones </w:t>
      </w:r>
      <w:r>
        <w:rPr>
          <w:rFonts w:ascii="Palatino Linotype" w:eastAsia="Palatino Linotype" w:hAnsi="Palatino Linotype" w:cs="Palatino Linotype"/>
        </w:rPr>
        <w:t xml:space="preserve">comprensibles </w:t>
      </w:r>
      <w:r>
        <w:rPr>
          <w:rFonts w:ascii="Palatino Linotype" w:eastAsia="Palatino Linotype" w:hAnsi="Palatino Linotype" w:cs="Palatino Linotype"/>
          <w:color w:val="000000"/>
        </w:rPr>
        <w:t>de l</w:t>
      </w:r>
      <w:r>
        <w:rPr>
          <w:rFonts w:ascii="Palatino Linotype" w:eastAsia="Palatino Linotype" w:hAnsi="Palatino Linotype" w:cs="Palatino Linotype"/>
        </w:rPr>
        <w:t>a</w:t>
      </w:r>
      <w:r>
        <w:rPr>
          <w:rFonts w:ascii="Palatino Linotype" w:eastAsia="Palatino Linotype" w:hAnsi="Palatino Linotype" w:cs="Palatino Linotype"/>
          <w:color w:val="000000"/>
        </w:rPr>
        <w:t>s mism</w:t>
      </w:r>
      <w:r>
        <w:rPr>
          <w:rFonts w:ascii="Palatino Linotype" w:eastAsia="Palatino Linotype" w:hAnsi="Palatino Linotype" w:cs="Palatino Linotype"/>
        </w:rPr>
        <w:t>a</w:t>
      </w:r>
      <w:r>
        <w:rPr>
          <w:rFonts w:ascii="Palatino Linotype" w:eastAsia="Palatino Linotype" w:hAnsi="Palatino Linotype" w:cs="Palatino Linotype"/>
          <w:color w:val="000000"/>
        </w:rPr>
        <w:t xml:space="preserve">s. Por último, se sugieren algunas consideraciones finales a manera de conclusiones. </w:t>
      </w:r>
    </w:p>
    <w:p w14:paraId="79BACFE5"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p w14:paraId="0EC67D81"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Es necesario</w:t>
      </w:r>
      <w:r>
        <w:rPr>
          <w:rFonts w:ascii="Palatino Linotype" w:eastAsia="Palatino Linotype" w:hAnsi="Palatino Linotype" w:cs="Palatino Linotype"/>
          <w:color w:val="000000"/>
        </w:rPr>
        <w:t xml:space="preserve"> subrayar que este estudio forma parte de la primera fase de la metodología planteada, </w:t>
      </w:r>
      <w:r>
        <w:rPr>
          <w:rFonts w:ascii="Palatino Linotype" w:eastAsia="Palatino Linotype" w:hAnsi="Palatino Linotype" w:cs="Palatino Linotype"/>
        </w:rPr>
        <w:t xml:space="preserve">teniendo en cuenta </w:t>
      </w:r>
      <w:r>
        <w:rPr>
          <w:rFonts w:ascii="Palatino Linotype" w:eastAsia="Palatino Linotype" w:hAnsi="Palatino Linotype" w:cs="Palatino Linotype"/>
          <w:color w:val="000000"/>
        </w:rPr>
        <w:t xml:space="preserve">que posterior a ello se llevará a cabo una validación de la información que permita recuperar datos que el cuestionario por sí solo no alcanzó a cubrir. </w:t>
      </w:r>
      <w:r>
        <w:rPr>
          <w:rFonts w:ascii="Palatino Linotype" w:eastAsia="Palatino Linotype" w:hAnsi="Palatino Linotype" w:cs="Palatino Linotype"/>
        </w:rPr>
        <w:t>En ese sentido</w:t>
      </w:r>
      <w:r>
        <w:rPr>
          <w:rFonts w:ascii="Palatino Linotype" w:eastAsia="Palatino Linotype" w:hAnsi="Palatino Linotype" w:cs="Palatino Linotype"/>
          <w:color w:val="000000"/>
        </w:rPr>
        <w:t xml:space="preserve">, tanto personal de la Dirección General de Transparencia, Acceso a la Información Pública y Gobierno Abierto, así como de personas que colaboraron en las mesas de trabajo, realizarán acercamientos a municipios muestra para corroborar y, en su caso, ampliar detalles de la información que enriquezcan el presente análisis. </w:t>
      </w:r>
    </w:p>
    <w:p w14:paraId="6FC97455"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p w14:paraId="1E80E31B"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ESTADÍSTICAS GENERALES</w:t>
      </w:r>
    </w:p>
    <w:p w14:paraId="519550F5"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p>
    <w:p w14:paraId="684FB226" w14:textId="77777777" w:rsidR="00A17147" w:rsidRDefault="00853C93">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Módulo de preguntas sobre Normatividad</w:t>
      </w:r>
    </w:p>
    <w:p w14:paraId="54725244"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Este apartado se conformó por 10 preguntas, todas con opción de respuesta “Sí” o “No”. En algunos casos, se pidió ampliar la información habilitando para ello un espacio. Los resultados estadísticos de este módulo son: </w:t>
      </w:r>
    </w:p>
    <w:p w14:paraId="40CADB36"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tbl>
      <w:tblPr>
        <w:tblStyle w:val="a"/>
        <w:tblW w:w="881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774"/>
        <w:gridCol w:w="4867"/>
        <w:gridCol w:w="1364"/>
        <w:gridCol w:w="1807"/>
      </w:tblGrid>
      <w:tr w:rsidR="00A17147" w14:paraId="4E3AA105" w14:textId="77777777" w:rsidTr="00A17147">
        <w:trPr>
          <w:cnfStyle w:val="100000000000" w:firstRow="1" w:lastRow="0" w:firstColumn="0" w:lastColumn="0" w:oddVBand="0" w:evenVBand="0" w:oddHBand="0" w:evenHBand="0" w:firstRowFirstColumn="0" w:firstRowLastColumn="0" w:lastRowFirstColumn="0" w:lastRowLastColumn="0"/>
          <w:trHeight w:val="243"/>
        </w:trPr>
        <w:tc>
          <w:tcPr>
            <w:cnfStyle w:val="001000000100" w:firstRow="0" w:lastRow="0" w:firstColumn="1" w:lastColumn="0" w:oddVBand="0" w:evenVBand="0" w:oddHBand="0" w:evenHBand="0" w:firstRowFirstColumn="1" w:firstRowLastColumn="0" w:lastRowFirstColumn="0" w:lastRowLastColumn="0"/>
            <w:tcW w:w="774" w:type="dxa"/>
            <w:tcBorders>
              <w:bottom w:val="single" w:sz="4" w:space="0" w:color="000000"/>
            </w:tcBorders>
            <w:vAlign w:val="center"/>
          </w:tcPr>
          <w:p w14:paraId="41487EA8" w14:textId="77777777" w:rsidR="00A17147" w:rsidRDefault="00A17147">
            <w:pPr>
              <w:pBdr>
                <w:top w:val="nil"/>
                <w:left w:val="nil"/>
                <w:bottom w:val="nil"/>
                <w:right w:val="nil"/>
                <w:between w:val="nil"/>
              </w:pBdr>
              <w:jc w:val="center"/>
              <w:rPr>
                <w:rFonts w:ascii="Palatino Linotype" w:eastAsia="Palatino Linotype" w:hAnsi="Palatino Linotype" w:cs="Palatino Linotype"/>
                <w:color w:val="000000"/>
              </w:rPr>
            </w:pPr>
          </w:p>
        </w:tc>
        <w:tc>
          <w:tcPr>
            <w:tcW w:w="4867" w:type="dxa"/>
            <w:vAlign w:val="center"/>
          </w:tcPr>
          <w:p w14:paraId="152FDD48" w14:textId="77777777" w:rsidR="00A17147" w:rsidRDefault="00A17147">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tc>
        <w:tc>
          <w:tcPr>
            <w:tcW w:w="3171" w:type="dxa"/>
            <w:gridSpan w:val="2"/>
            <w:vAlign w:val="center"/>
          </w:tcPr>
          <w:p w14:paraId="6848DC5C" w14:textId="77777777" w:rsidR="00A17147" w:rsidRDefault="00853C93">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b w:val="0"/>
                <w:color w:val="000000"/>
              </w:rPr>
              <w:t>Respuesta</w:t>
            </w:r>
          </w:p>
        </w:tc>
      </w:tr>
      <w:tr w:rsidR="00A17147" w14:paraId="33FDBADC" w14:textId="77777777" w:rsidTr="00A171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4" w:type="dxa"/>
            <w:tcBorders>
              <w:top w:val="single" w:sz="4" w:space="0" w:color="000000"/>
            </w:tcBorders>
            <w:vAlign w:val="center"/>
          </w:tcPr>
          <w:p w14:paraId="3A40105D" w14:textId="77777777" w:rsidR="00A17147" w:rsidRDefault="00A17147">
            <w:pPr>
              <w:pBdr>
                <w:top w:val="nil"/>
                <w:left w:val="nil"/>
                <w:bottom w:val="nil"/>
                <w:right w:val="nil"/>
                <w:between w:val="nil"/>
              </w:pBdr>
              <w:jc w:val="center"/>
              <w:rPr>
                <w:rFonts w:ascii="Palatino Linotype" w:eastAsia="Palatino Linotype" w:hAnsi="Palatino Linotype" w:cs="Palatino Linotype"/>
                <w:color w:val="000000"/>
              </w:rPr>
            </w:pPr>
          </w:p>
        </w:tc>
        <w:tc>
          <w:tcPr>
            <w:tcW w:w="4867" w:type="dxa"/>
            <w:vAlign w:val="center"/>
          </w:tcPr>
          <w:p w14:paraId="46C08791"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Pregunta</w:t>
            </w:r>
          </w:p>
        </w:tc>
        <w:tc>
          <w:tcPr>
            <w:tcW w:w="1364" w:type="dxa"/>
            <w:vAlign w:val="center"/>
          </w:tcPr>
          <w:p w14:paraId="631D9FF6"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Sí</w:t>
            </w:r>
          </w:p>
        </w:tc>
        <w:tc>
          <w:tcPr>
            <w:tcW w:w="1807" w:type="dxa"/>
            <w:vAlign w:val="center"/>
          </w:tcPr>
          <w:p w14:paraId="028E9BDA"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No</w:t>
            </w:r>
          </w:p>
        </w:tc>
      </w:tr>
      <w:tr w:rsidR="00A17147" w14:paraId="3C7A3B06"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27F65A66"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w:t>
            </w:r>
          </w:p>
        </w:tc>
        <w:tc>
          <w:tcPr>
            <w:tcW w:w="4867" w:type="dxa"/>
            <w:vAlign w:val="center"/>
          </w:tcPr>
          <w:p w14:paraId="30F6C8AF"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Bando municipal señala expresamente algún mecanismo de participación ciudadana?</w:t>
            </w:r>
          </w:p>
        </w:tc>
        <w:tc>
          <w:tcPr>
            <w:tcW w:w="1364" w:type="dxa"/>
            <w:vAlign w:val="center"/>
          </w:tcPr>
          <w:p w14:paraId="067D9BF2"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107 (91.5%)</w:t>
            </w:r>
          </w:p>
        </w:tc>
        <w:tc>
          <w:tcPr>
            <w:tcW w:w="1807" w:type="dxa"/>
            <w:vAlign w:val="center"/>
          </w:tcPr>
          <w:p w14:paraId="1BD45980"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10 (8.5%)</w:t>
            </w:r>
          </w:p>
        </w:tc>
      </w:tr>
      <w:tr w:rsidR="00A17147" w14:paraId="385E8F66"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38371F82"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2</w:t>
            </w:r>
          </w:p>
        </w:tc>
        <w:tc>
          <w:tcPr>
            <w:tcW w:w="4867" w:type="dxa"/>
            <w:vAlign w:val="center"/>
          </w:tcPr>
          <w:p w14:paraId="35C09F42"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Bando municipal precisa el alcance de la participación ciudadana?</w:t>
            </w:r>
          </w:p>
        </w:tc>
        <w:tc>
          <w:tcPr>
            <w:tcW w:w="1364" w:type="dxa"/>
            <w:vAlign w:val="center"/>
          </w:tcPr>
          <w:p w14:paraId="39AA896F"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98 (83.7%)</w:t>
            </w:r>
          </w:p>
        </w:tc>
        <w:tc>
          <w:tcPr>
            <w:tcW w:w="1807" w:type="dxa"/>
            <w:vAlign w:val="center"/>
          </w:tcPr>
          <w:p w14:paraId="5E6734B9"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19 (16.3%)</w:t>
            </w:r>
          </w:p>
        </w:tc>
      </w:tr>
      <w:tr w:rsidR="00A17147" w14:paraId="4C37EBB5"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1EB00F01"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3</w:t>
            </w:r>
          </w:p>
        </w:tc>
        <w:tc>
          <w:tcPr>
            <w:tcW w:w="4867" w:type="dxa"/>
            <w:vAlign w:val="center"/>
          </w:tcPr>
          <w:p w14:paraId="633C4FC2"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Bando municipal promueve la toma de decisiones colectivas entre ciudadanía y autoridades?</w:t>
            </w:r>
          </w:p>
        </w:tc>
        <w:tc>
          <w:tcPr>
            <w:tcW w:w="1364" w:type="dxa"/>
            <w:vAlign w:val="center"/>
          </w:tcPr>
          <w:p w14:paraId="1BCCC0BC"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104 (88.9%)</w:t>
            </w:r>
          </w:p>
        </w:tc>
        <w:tc>
          <w:tcPr>
            <w:tcW w:w="1807" w:type="dxa"/>
            <w:vAlign w:val="center"/>
          </w:tcPr>
          <w:p w14:paraId="190ABE6C"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13 (11.1%)</w:t>
            </w:r>
          </w:p>
        </w:tc>
      </w:tr>
      <w:tr w:rsidR="00A17147" w14:paraId="2DB281C2" w14:textId="77777777" w:rsidTr="00A171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4" w:type="dxa"/>
            <w:vAlign w:val="center"/>
          </w:tcPr>
          <w:p w14:paraId="185A5A9E"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4</w:t>
            </w:r>
          </w:p>
        </w:tc>
        <w:tc>
          <w:tcPr>
            <w:tcW w:w="4867" w:type="dxa"/>
            <w:vAlign w:val="center"/>
          </w:tcPr>
          <w:p w14:paraId="5D532D66"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Bando municipal precisa el ámbito de incidencia de los Comités de Participación Ciudadana?</w:t>
            </w:r>
          </w:p>
        </w:tc>
        <w:tc>
          <w:tcPr>
            <w:tcW w:w="1364" w:type="dxa"/>
            <w:vAlign w:val="center"/>
          </w:tcPr>
          <w:p w14:paraId="5B017F44"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92 (78.6%)</w:t>
            </w:r>
          </w:p>
        </w:tc>
        <w:tc>
          <w:tcPr>
            <w:tcW w:w="1807" w:type="dxa"/>
            <w:vAlign w:val="center"/>
          </w:tcPr>
          <w:p w14:paraId="637C2C0B"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25 (21.4%)</w:t>
            </w:r>
          </w:p>
        </w:tc>
      </w:tr>
      <w:tr w:rsidR="00A17147" w14:paraId="178C67BC"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3428A833"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5</w:t>
            </w:r>
          </w:p>
        </w:tc>
        <w:tc>
          <w:tcPr>
            <w:tcW w:w="4867" w:type="dxa"/>
            <w:vAlign w:val="center"/>
          </w:tcPr>
          <w:p w14:paraId="16C97343"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Bando municipal precisa el ámbito de incidencia de los Comités Ciudadanos de Control y Vigilancia?</w:t>
            </w:r>
          </w:p>
        </w:tc>
        <w:tc>
          <w:tcPr>
            <w:tcW w:w="1364" w:type="dxa"/>
            <w:vAlign w:val="center"/>
          </w:tcPr>
          <w:p w14:paraId="495796CC"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72 (61.5%)</w:t>
            </w:r>
          </w:p>
        </w:tc>
        <w:tc>
          <w:tcPr>
            <w:tcW w:w="1807" w:type="dxa"/>
            <w:vAlign w:val="center"/>
          </w:tcPr>
          <w:p w14:paraId="4040F88F"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45 (38.5%)</w:t>
            </w:r>
          </w:p>
        </w:tc>
      </w:tr>
      <w:tr w:rsidR="00A17147" w14:paraId="2205EB49"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00744C5A"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6</w:t>
            </w:r>
          </w:p>
        </w:tc>
        <w:tc>
          <w:tcPr>
            <w:tcW w:w="4867" w:type="dxa"/>
            <w:vAlign w:val="center"/>
          </w:tcPr>
          <w:p w14:paraId="08A1BCE4"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Bando municipal reconoce mecanismos para prevenir y/o combatir la corrupción?</w:t>
            </w:r>
          </w:p>
        </w:tc>
        <w:tc>
          <w:tcPr>
            <w:tcW w:w="1364" w:type="dxa"/>
            <w:vAlign w:val="center"/>
          </w:tcPr>
          <w:p w14:paraId="3FD8200A"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89 (76.1%)</w:t>
            </w:r>
          </w:p>
        </w:tc>
        <w:tc>
          <w:tcPr>
            <w:tcW w:w="1807" w:type="dxa"/>
            <w:vAlign w:val="center"/>
          </w:tcPr>
          <w:p w14:paraId="6152013A"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28 (23.9%)</w:t>
            </w:r>
          </w:p>
        </w:tc>
      </w:tr>
      <w:tr w:rsidR="00A17147" w14:paraId="367A8681"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5820017F"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7</w:t>
            </w:r>
          </w:p>
        </w:tc>
        <w:tc>
          <w:tcPr>
            <w:tcW w:w="4867" w:type="dxa"/>
            <w:vAlign w:val="center"/>
          </w:tcPr>
          <w:p w14:paraId="5EE644E5"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Bando municipal identifica expresamente el término de Gobierno Abierto?</w:t>
            </w:r>
          </w:p>
        </w:tc>
        <w:tc>
          <w:tcPr>
            <w:tcW w:w="1364" w:type="dxa"/>
            <w:vAlign w:val="center"/>
          </w:tcPr>
          <w:p w14:paraId="42EDE447"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37 (31.6%)</w:t>
            </w:r>
          </w:p>
        </w:tc>
        <w:tc>
          <w:tcPr>
            <w:tcW w:w="1807" w:type="dxa"/>
            <w:vAlign w:val="center"/>
          </w:tcPr>
          <w:p w14:paraId="3B5B3E87"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80 (68.4%)</w:t>
            </w:r>
          </w:p>
        </w:tc>
      </w:tr>
      <w:tr w:rsidR="00A17147" w14:paraId="119039C2"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1586C4F4"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8</w:t>
            </w:r>
          </w:p>
        </w:tc>
        <w:tc>
          <w:tcPr>
            <w:tcW w:w="4867" w:type="dxa"/>
            <w:vAlign w:val="center"/>
          </w:tcPr>
          <w:p w14:paraId="6E3E800E"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 reglamento específico de participación ciudadana?</w:t>
            </w:r>
          </w:p>
        </w:tc>
        <w:tc>
          <w:tcPr>
            <w:tcW w:w="1364" w:type="dxa"/>
            <w:vAlign w:val="center"/>
          </w:tcPr>
          <w:p w14:paraId="6EC39ADC"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37 (31.6%)</w:t>
            </w:r>
          </w:p>
        </w:tc>
        <w:tc>
          <w:tcPr>
            <w:tcW w:w="1807" w:type="dxa"/>
            <w:vAlign w:val="center"/>
          </w:tcPr>
          <w:p w14:paraId="6118DAD6"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80 (68.4%)</w:t>
            </w:r>
          </w:p>
        </w:tc>
      </w:tr>
      <w:tr w:rsidR="00A17147" w14:paraId="3BF908D8"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65047E2C"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9</w:t>
            </w:r>
          </w:p>
        </w:tc>
        <w:tc>
          <w:tcPr>
            <w:tcW w:w="4867" w:type="dxa"/>
            <w:vAlign w:val="center"/>
          </w:tcPr>
          <w:p w14:paraId="78694EC0"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 reglamento específico para la toma de decisiones de órganos deliberativos multiactor?</w:t>
            </w:r>
          </w:p>
        </w:tc>
        <w:tc>
          <w:tcPr>
            <w:tcW w:w="1364" w:type="dxa"/>
            <w:vAlign w:val="center"/>
          </w:tcPr>
          <w:p w14:paraId="7AFF03BF"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90 (77%)</w:t>
            </w:r>
          </w:p>
        </w:tc>
        <w:tc>
          <w:tcPr>
            <w:tcW w:w="1807" w:type="dxa"/>
            <w:vAlign w:val="center"/>
          </w:tcPr>
          <w:p w14:paraId="243FBB16"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27 (23%)</w:t>
            </w:r>
          </w:p>
        </w:tc>
      </w:tr>
      <w:tr w:rsidR="00A17147" w14:paraId="4C1CD92A"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5BD515BE"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10</w:t>
            </w:r>
          </w:p>
        </w:tc>
        <w:tc>
          <w:tcPr>
            <w:tcW w:w="4867" w:type="dxa"/>
            <w:vAlign w:val="center"/>
          </w:tcPr>
          <w:p w14:paraId="18AFFA9C"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 reglamento o código de ética para funcionarios y servidores públicos?</w:t>
            </w:r>
          </w:p>
        </w:tc>
        <w:tc>
          <w:tcPr>
            <w:tcW w:w="1364" w:type="dxa"/>
            <w:vAlign w:val="center"/>
          </w:tcPr>
          <w:p w14:paraId="322DEB52"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84 (71.8%)</w:t>
            </w:r>
          </w:p>
        </w:tc>
        <w:tc>
          <w:tcPr>
            <w:tcW w:w="1807" w:type="dxa"/>
            <w:vAlign w:val="center"/>
          </w:tcPr>
          <w:p w14:paraId="26A9688E"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33 (28.2%)</w:t>
            </w:r>
          </w:p>
        </w:tc>
      </w:tr>
    </w:tbl>
    <w:p w14:paraId="09C40856"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p w14:paraId="40808A2F" w14:textId="77777777" w:rsidR="00A17147" w:rsidRDefault="00853C93">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Módulo de preguntas sobre Participación Ciudadana</w:t>
      </w:r>
    </w:p>
    <w:p w14:paraId="1E41F6BB"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Este apartado se conformó por 20 preguntas, de las cuales 19, con opción de respuesta “Sí” o “No”. En algunos casos, se pidió ampliar la información habilitando para ello un espacio. Los resultados estadísticos de este módulo son: </w:t>
      </w:r>
    </w:p>
    <w:p w14:paraId="63A32C9D"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tbl>
      <w:tblPr>
        <w:tblStyle w:val="a0"/>
        <w:tblW w:w="881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774"/>
        <w:gridCol w:w="4867"/>
        <w:gridCol w:w="1364"/>
        <w:gridCol w:w="1807"/>
      </w:tblGrid>
      <w:tr w:rsidR="00A17147" w14:paraId="6453BFD8" w14:textId="77777777" w:rsidTr="00A17147">
        <w:trPr>
          <w:cnfStyle w:val="100000000000" w:firstRow="1" w:lastRow="0" w:firstColumn="0" w:lastColumn="0" w:oddVBand="0" w:evenVBand="0" w:oddHBand="0" w:evenHBand="0" w:firstRowFirstColumn="0" w:firstRowLastColumn="0" w:lastRowFirstColumn="0" w:lastRowLastColumn="0"/>
          <w:trHeight w:val="243"/>
        </w:trPr>
        <w:tc>
          <w:tcPr>
            <w:cnfStyle w:val="001000000100" w:firstRow="0" w:lastRow="0" w:firstColumn="1" w:lastColumn="0" w:oddVBand="0" w:evenVBand="0" w:oddHBand="0" w:evenHBand="0" w:firstRowFirstColumn="1" w:firstRowLastColumn="0" w:lastRowFirstColumn="0" w:lastRowLastColumn="0"/>
            <w:tcW w:w="774" w:type="dxa"/>
            <w:vAlign w:val="center"/>
          </w:tcPr>
          <w:p w14:paraId="05F36439" w14:textId="77777777" w:rsidR="00A17147" w:rsidRDefault="00A17147">
            <w:pPr>
              <w:pBdr>
                <w:top w:val="nil"/>
                <w:left w:val="nil"/>
                <w:bottom w:val="nil"/>
                <w:right w:val="nil"/>
                <w:between w:val="nil"/>
              </w:pBdr>
              <w:jc w:val="center"/>
              <w:rPr>
                <w:rFonts w:ascii="Palatino Linotype" w:eastAsia="Palatino Linotype" w:hAnsi="Palatino Linotype" w:cs="Palatino Linotype"/>
                <w:color w:val="000000"/>
              </w:rPr>
            </w:pPr>
          </w:p>
        </w:tc>
        <w:tc>
          <w:tcPr>
            <w:tcW w:w="4867" w:type="dxa"/>
            <w:vAlign w:val="center"/>
          </w:tcPr>
          <w:p w14:paraId="6558825F" w14:textId="77777777" w:rsidR="00A17147" w:rsidRDefault="00A17147">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tc>
        <w:tc>
          <w:tcPr>
            <w:tcW w:w="3171" w:type="dxa"/>
            <w:gridSpan w:val="2"/>
            <w:vAlign w:val="center"/>
          </w:tcPr>
          <w:p w14:paraId="0F8E6209" w14:textId="77777777" w:rsidR="00A17147" w:rsidRDefault="00853C93">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b w:val="0"/>
                <w:color w:val="000000"/>
              </w:rPr>
              <w:t>Respuesta</w:t>
            </w:r>
          </w:p>
        </w:tc>
      </w:tr>
      <w:tr w:rsidR="00A17147" w14:paraId="3FE5257D" w14:textId="77777777" w:rsidTr="00A171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4" w:type="dxa"/>
            <w:vAlign w:val="center"/>
          </w:tcPr>
          <w:p w14:paraId="7BF3B3BB" w14:textId="77777777" w:rsidR="00A17147" w:rsidRDefault="00A17147">
            <w:pPr>
              <w:pBdr>
                <w:top w:val="nil"/>
                <w:left w:val="nil"/>
                <w:bottom w:val="nil"/>
                <w:right w:val="nil"/>
                <w:between w:val="nil"/>
              </w:pBdr>
              <w:jc w:val="center"/>
              <w:rPr>
                <w:rFonts w:ascii="Palatino Linotype" w:eastAsia="Palatino Linotype" w:hAnsi="Palatino Linotype" w:cs="Palatino Linotype"/>
                <w:color w:val="000000"/>
              </w:rPr>
            </w:pPr>
          </w:p>
        </w:tc>
        <w:tc>
          <w:tcPr>
            <w:tcW w:w="4867" w:type="dxa"/>
            <w:vAlign w:val="center"/>
          </w:tcPr>
          <w:p w14:paraId="4F430D36"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Pregunta</w:t>
            </w:r>
          </w:p>
        </w:tc>
        <w:tc>
          <w:tcPr>
            <w:tcW w:w="1364" w:type="dxa"/>
            <w:vAlign w:val="center"/>
          </w:tcPr>
          <w:p w14:paraId="5A5EA942"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Sí</w:t>
            </w:r>
          </w:p>
        </w:tc>
        <w:tc>
          <w:tcPr>
            <w:tcW w:w="1807" w:type="dxa"/>
            <w:vAlign w:val="center"/>
          </w:tcPr>
          <w:p w14:paraId="7C901E3E"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No</w:t>
            </w:r>
          </w:p>
        </w:tc>
      </w:tr>
      <w:tr w:rsidR="00A17147" w14:paraId="78AC0059"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54DBF4B7"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w:t>
            </w:r>
          </w:p>
        </w:tc>
        <w:tc>
          <w:tcPr>
            <w:tcW w:w="4867" w:type="dxa"/>
            <w:vAlign w:val="center"/>
          </w:tcPr>
          <w:p w14:paraId="1547F530"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una unidad administrativa responsable de atender peticiones ciudadanas?</w:t>
            </w:r>
          </w:p>
        </w:tc>
        <w:tc>
          <w:tcPr>
            <w:tcW w:w="1364" w:type="dxa"/>
            <w:vAlign w:val="center"/>
          </w:tcPr>
          <w:p w14:paraId="0495EAB6"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102 (87.2%)</w:t>
            </w:r>
          </w:p>
          <w:p w14:paraId="065A0B68" w14:textId="77777777" w:rsidR="00A17147" w:rsidRDefault="00A17147">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p w14:paraId="47744C9A" w14:textId="77777777" w:rsidR="00A17147" w:rsidRDefault="00A17147">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tc>
        <w:tc>
          <w:tcPr>
            <w:tcW w:w="1807" w:type="dxa"/>
            <w:vAlign w:val="center"/>
          </w:tcPr>
          <w:p w14:paraId="53AB9626"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15 (12.8%)</w:t>
            </w:r>
          </w:p>
        </w:tc>
      </w:tr>
      <w:tr w:rsidR="00A17147" w14:paraId="4232B0A8"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799660A5"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2</w:t>
            </w:r>
          </w:p>
        </w:tc>
        <w:tc>
          <w:tcPr>
            <w:tcW w:w="4867" w:type="dxa"/>
            <w:vAlign w:val="center"/>
          </w:tcPr>
          <w:p w14:paraId="1906A623"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alguna forma de evaluar la atención brindada a la ciudadanía?</w:t>
            </w:r>
          </w:p>
        </w:tc>
        <w:tc>
          <w:tcPr>
            <w:tcW w:w="1364" w:type="dxa"/>
            <w:vAlign w:val="center"/>
          </w:tcPr>
          <w:p w14:paraId="2F203A7F"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57 (48.7%)</w:t>
            </w:r>
          </w:p>
        </w:tc>
        <w:tc>
          <w:tcPr>
            <w:tcW w:w="1807" w:type="dxa"/>
            <w:vAlign w:val="center"/>
          </w:tcPr>
          <w:p w14:paraId="0270F34E"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60 (51.3%)</w:t>
            </w:r>
          </w:p>
        </w:tc>
      </w:tr>
      <w:tr w:rsidR="00A17147" w14:paraId="48C16885"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2DAFF527"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3</w:t>
            </w:r>
          </w:p>
        </w:tc>
        <w:tc>
          <w:tcPr>
            <w:tcW w:w="4867" w:type="dxa"/>
            <w:vAlign w:val="center"/>
          </w:tcPr>
          <w:p w14:paraId="525C94A9"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difunde información sobre la existencia de dicha unidad administrativa?</w:t>
            </w:r>
          </w:p>
        </w:tc>
        <w:tc>
          <w:tcPr>
            <w:tcW w:w="1364" w:type="dxa"/>
            <w:vAlign w:val="center"/>
          </w:tcPr>
          <w:p w14:paraId="44BFF9C7"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60 (51.3%)</w:t>
            </w:r>
          </w:p>
        </w:tc>
        <w:tc>
          <w:tcPr>
            <w:tcW w:w="1807" w:type="dxa"/>
            <w:vAlign w:val="center"/>
          </w:tcPr>
          <w:p w14:paraId="13DE0DBB"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57 (48.7%)</w:t>
            </w:r>
          </w:p>
        </w:tc>
      </w:tr>
      <w:tr w:rsidR="00A17147" w14:paraId="601B7C8F" w14:textId="77777777" w:rsidTr="00A171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4" w:type="dxa"/>
            <w:vAlign w:val="center"/>
          </w:tcPr>
          <w:p w14:paraId="3ED388E3"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4</w:t>
            </w:r>
          </w:p>
        </w:tc>
        <w:tc>
          <w:tcPr>
            <w:tcW w:w="4867" w:type="dxa"/>
            <w:vAlign w:val="center"/>
          </w:tcPr>
          <w:p w14:paraId="54374CBF"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registros estadísticos de las solicitudes de atención recibidas?</w:t>
            </w:r>
          </w:p>
        </w:tc>
        <w:tc>
          <w:tcPr>
            <w:tcW w:w="1364" w:type="dxa"/>
            <w:vAlign w:val="center"/>
          </w:tcPr>
          <w:p w14:paraId="688824E2"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80 (68.4%)</w:t>
            </w:r>
          </w:p>
        </w:tc>
        <w:tc>
          <w:tcPr>
            <w:tcW w:w="1807" w:type="dxa"/>
            <w:vAlign w:val="center"/>
          </w:tcPr>
          <w:p w14:paraId="49FBE8B6"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37 (31.6%)</w:t>
            </w:r>
          </w:p>
        </w:tc>
      </w:tr>
      <w:tr w:rsidR="00A17147" w14:paraId="1A72FE18"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1986701D"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5</w:t>
            </w:r>
          </w:p>
        </w:tc>
        <w:tc>
          <w:tcPr>
            <w:tcW w:w="4867" w:type="dxa"/>
            <w:vAlign w:val="center"/>
          </w:tcPr>
          <w:p w14:paraId="5587CD2B"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registros estadísticos de las solicitudes de atención respondidas?</w:t>
            </w:r>
          </w:p>
        </w:tc>
        <w:tc>
          <w:tcPr>
            <w:tcW w:w="1364" w:type="dxa"/>
            <w:vAlign w:val="center"/>
          </w:tcPr>
          <w:p w14:paraId="55D6D325"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78 (66.7%)</w:t>
            </w:r>
          </w:p>
        </w:tc>
        <w:tc>
          <w:tcPr>
            <w:tcW w:w="1807" w:type="dxa"/>
            <w:vAlign w:val="center"/>
          </w:tcPr>
          <w:p w14:paraId="2D6F1B31"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39 (33.3%)</w:t>
            </w:r>
          </w:p>
        </w:tc>
      </w:tr>
      <w:tr w:rsidR="00A17147" w14:paraId="442F1A17"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488AA9A6"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6</w:t>
            </w:r>
          </w:p>
        </w:tc>
        <w:tc>
          <w:tcPr>
            <w:tcW w:w="4867" w:type="dxa"/>
            <w:vAlign w:val="center"/>
          </w:tcPr>
          <w:p w14:paraId="0A9B115C"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 medio para dar seguimiento a la solicitud ingresada por el ciudadano?</w:t>
            </w:r>
          </w:p>
        </w:tc>
        <w:tc>
          <w:tcPr>
            <w:tcW w:w="1364" w:type="dxa"/>
            <w:vAlign w:val="center"/>
          </w:tcPr>
          <w:p w14:paraId="79F5B7E8"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86 (73.5%)</w:t>
            </w:r>
          </w:p>
        </w:tc>
        <w:tc>
          <w:tcPr>
            <w:tcW w:w="1807" w:type="dxa"/>
            <w:vAlign w:val="center"/>
          </w:tcPr>
          <w:p w14:paraId="629D360A"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31(26.5%)</w:t>
            </w:r>
          </w:p>
        </w:tc>
      </w:tr>
      <w:tr w:rsidR="00A17147" w14:paraId="105EAAE1"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5E08B2E1"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7</w:t>
            </w:r>
          </w:p>
        </w:tc>
        <w:tc>
          <w:tcPr>
            <w:tcW w:w="4867" w:type="dxa"/>
            <w:vAlign w:val="center"/>
          </w:tcPr>
          <w:p w14:paraId="0EC3495E"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estrategias para conocer las necesidades de la población?</w:t>
            </w:r>
          </w:p>
        </w:tc>
        <w:tc>
          <w:tcPr>
            <w:tcW w:w="1364" w:type="dxa"/>
            <w:vAlign w:val="center"/>
          </w:tcPr>
          <w:p w14:paraId="74E256A3"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97 (82.9%)</w:t>
            </w:r>
          </w:p>
        </w:tc>
        <w:tc>
          <w:tcPr>
            <w:tcW w:w="1807" w:type="dxa"/>
            <w:vAlign w:val="center"/>
          </w:tcPr>
          <w:p w14:paraId="2A22B3F6"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20 (17.1%)</w:t>
            </w:r>
          </w:p>
        </w:tc>
      </w:tr>
      <w:tr w:rsidR="00A17147" w14:paraId="5EBD49F3"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1ACE2A4B"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8</w:t>
            </w:r>
          </w:p>
        </w:tc>
        <w:tc>
          <w:tcPr>
            <w:tcW w:w="4867" w:type="dxa"/>
            <w:vAlign w:val="center"/>
          </w:tcPr>
          <w:p w14:paraId="72394DB1"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medios de difusión apropiados para invitar a la ciudadanía a comunicar sus necesidades?</w:t>
            </w:r>
          </w:p>
        </w:tc>
        <w:tc>
          <w:tcPr>
            <w:tcW w:w="1364" w:type="dxa"/>
            <w:vAlign w:val="center"/>
          </w:tcPr>
          <w:p w14:paraId="1B668653"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96 (82.1%)</w:t>
            </w:r>
          </w:p>
        </w:tc>
        <w:tc>
          <w:tcPr>
            <w:tcW w:w="1807" w:type="dxa"/>
            <w:vAlign w:val="center"/>
          </w:tcPr>
          <w:p w14:paraId="473BDDEB"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21 (17.9%)</w:t>
            </w:r>
          </w:p>
        </w:tc>
      </w:tr>
      <w:tr w:rsidR="00A17147" w14:paraId="48ED6A4D"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1ECAD75B"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9</w:t>
            </w:r>
          </w:p>
        </w:tc>
        <w:tc>
          <w:tcPr>
            <w:tcW w:w="4867" w:type="dxa"/>
            <w:vAlign w:val="center"/>
          </w:tcPr>
          <w:p w14:paraId="66B47CFF"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espacios permanentes o temporales para la definición de problemáticas prioritarias de atención?</w:t>
            </w:r>
          </w:p>
        </w:tc>
        <w:tc>
          <w:tcPr>
            <w:tcW w:w="1364" w:type="dxa"/>
            <w:vAlign w:val="center"/>
          </w:tcPr>
          <w:p w14:paraId="352C32A8"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79 (67.6%)</w:t>
            </w:r>
          </w:p>
        </w:tc>
        <w:tc>
          <w:tcPr>
            <w:tcW w:w="1807" w:type="dxa"/>
            <w:vAlign w:val="center"/>
          </w:tcPr>
          <w:p w14:paraId="7BA01FB5"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38 (32.4%)</w:t>
            </w:r>
          </w:p>
        </w:tc>
      </w:tr>
      <w:tr w:rsidR="00A17147" w14:paraId="6B18F22B"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5713D613"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10</w:t>
            </w:r>
          </w:p>
        </w:tc>
        <w:tc>
          <w:tcPr>
            <w:tcW w:w="4867" w:type="dxa"/>
            <w:vAlign w:val="center"/>
          </w:tcPr>
          <w:p w14:paraId="2F088965"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estrategias para la elaboración conjunta de alternativas de solución a problemáticas prioritarias?</w:t>
            </w:r>
          </w:p>
        </w:tc>
        <w:tc>
          <w:tcPr>
            <w:tcW w:w="1364" w:type="dxa"/>
            <w:vAlign w:val="center"/>
          </w:tcPr>
          <w:p w14:paraId="758BB025" w14:textId="77777777" w:rsidR="00A17147" w:rsidRDefault="00853C93">
            <w:pPr>
              <w:pBdr>
                <w:top w:val="nil"/>
                <w:left w:val="nil"/>
                <w:bottom w:val="nil"/>
                <w:right w:val="nil"/>
                <w:between w:val="nil"/>
              </w:pBdr>
              <w:tabs>
                <w:tab w:val="left" w:pos="764"/>
              </w:tabs>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77</w:t>
            </w:r>
            <w:r>
              <w:rPr>
                <w:rFonts w:ascii="Palatino Linotype" w:eastAsia="Palatino Linotype" w:hAnsi="Palatino Linotype" w:cs="Palatino Linotype"/>
                <w:color w:val="000000"/>
              </w:rPr>
              <w:tab/>
              <w:t xml:space="preserve"> (65.8%)</w:t>
            </w:r>
          </w:p>
        </w:tc>
        <w:tc>
          <w:tcPr>
            <w:tcW w:w="1807" w:type="dxa"/>
            <w:vAlign w:val="center"/>
          </w:tcPr>
          <w:p w14:paraId="0AF16E16"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40 (34.2%)</w:t>
            </w:r>
          </w:p>
        </w:tc>
      </w:tr>
      <w:tr w:rsidR="00A17147" w14:paraId="3C50759F"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370F53F5"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11</w:t>
            </w:r>
          </w:p>
        </w:tc>
        <w:tc>
          <w:tcPr>
            <w:tcW w:w="4867" w:type="dxa"/>
            <w:vAlign w:val="center"/>
          </w:tcPr>
          <w:p w14:paraId="6214AD0D"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mecanismos conjuntos de evaluación de las alternativas de solución planteadas?</w:t>
            </w:r>
          </w:p>
        </w:tc>
        <w:tc>
          <w:tcPr>
            <w:tcW w:w="1364" w:type="dxa"/>
            <w:vAlign w:val="center"/>
          </w:tcPr>
          <w:p w14:paraId="4E3FBDC3"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60 (51.3%)</w:t>
            </w:r>
          </w:p>
        </w:tc>
        <w:tc>
          <w:tcPr>
            <w:tcW w:w="1807" w:type="dxa"/>
            <w:vAlign w:val="center"/>
          </w:tcPr>
          <w:p w14:paraId="7E5FCD35"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57 (48.7%)</w:t>
            </w:r>
          </w:p>
        </w:tc>
      </w:tr>
      <w:tr w:rsidR="00A17147" w14:paraId="5297141B"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75BD28E7"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12</w:t>
            </w:r>
          </w:p>
        </w:tc>
        <w:tc>
          <w:tcPr>
            <w:tcW w:w="4867" w:type="dxa"/>
            <w:vAlign w:val="center"/>
          </w:tcPr>
          <w:p w14:paraId="74D72571"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una unidad administrativa responsable de promover el involucramiento ciudadano en la toma de decisiones?</w:t>
            </w:r>
          </w:p>
        </w:tc>
        <w:tc>
          <w:tcPr>
            <w:tcW w:w="1364" w:type="dxa"/>
            <w:vAlign w:val="center"/>
          </w:tcPr>
          <w:p w14:paraId="7CC4663E"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78 (66.7%)</w:t>
            </w:r>
          </w:p>
        </w:tc>
        <w:tc>
          <w:tcPr>
            <w:tcW w:w="1807" w:type="dxa"/>
            <w:vAlign w:val="center"/>
          </w:tcPr>
          <w:p w14:paraId="15936504"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39 (33.3%)</w:t>
            </w:r>
          </w:p>
        </w:tc>
      </w:tr>
      <w:tr w:rsidR="00A17147" w14:paraId="71A12EA5"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08EB3EDB"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13</w:t>
            </w:r>
          </w:p>
        </w:tc>
        <w:tc>
          <w:tcPr>
            <w:tcW w:w="4867" w:type="dxa"/>
            <w:vAlign w:val="center"/>
          </w:tcPr>
          <w:p w14:paraId="43D71261"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 registro de asociaciones, organizaciones no gubernamentales, cámaras empresariales, sindicatos, etc., presentes en la demarcación territorial?</w:t>
            </w:r>
          </w:p>
        </w:tc>
        <w:tc>
          <w:tcPr>
            <w:tcW w:w="1364" w:type="dxa"/>
            <w:vAlign w:val="center"/>
          </w:tcPr>
          <w:p w14:paraId="2CE8DD45"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73 (62.4%)</w:t>
            </w:r>
          </w:p>
        </w:tc>
        <w:tc>
          <w:tcPr>
            <w:tcW w:w="1807" w:type="dxa"/>
            <w:vAlign w:val="center"/>
          </w:tcPr>
          <w:p w14:paraId="7C7D6539"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44 (37.6%)</w:t>
            </w:r>
          </w:p>
        </w:tc>
      </w:tr>
      <w:tr w:rsidR="00A17147" w14:paraId="5AD74436"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4F87625B"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lastRenderedPageBreak/>
              <w:t>14</w:t>
            </w:r>
          </w:p>
        </w:tc>
        <w:tc>
          <w:tcPr>
            <w:tcW w:w="4867" w:type="dxa"/>
            <w:vAlign w:val="center"/>
          </w:tcPr>
          <w:p w14:paraId="17D524FD"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 archivo que registre el funcionamiento de instrumentos de participación ciudadana (Ej. COPACI, COCICOVI,etc.?</w:t>
            </w:r>
          </w:p>
        </w:tc>
        <w:tc>
          <w:tcPr>
            <w:tcW w:w="1364" w:type="dxa"/>
            <w:vAlign w:val="center"/>
          </w:tcPr>
          <w:p w14:paraId="66F8AEE9"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83 (70.9%)</w:t>
            </w:r>
          </w:p>
        </w:tc>
        <w:tc>
          <w:tcPr>
            <w:tcW w:w="1807" w:type="dxa"/>
            <w:vAlign w:val="center"/>
          </w:tcPr>
          <w:p w14:paraId="6D5B18E7"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34 (29.1%)</w:t>
            </w:r>
          </w:p>
        </w:tc>
      </w:tr>
      <w:tr w:rsidR="00A17147" w14:paraId="6A8EFD10"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0F60B3D9"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15</w:t>
            </w:r>
          </w:p>
        </w:tc>
        <w:tc>
          <w:tcPr>
            <w:tcW w:w="4867" w:type="dxa"/>
            <w:vAlign w:val="center"/>
          </w:tcPr>
          <w:p w14:paraId="0BE03259"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¿Las sesiones de cabildo son públicas?</w:t>
            </w:r>
          </w:p>
        </w:tc>
        <w:tc>
          <w:tcPr>
            <w:tcW w:w="1364" w:type="dxa"/>
            <w:vAlign w:val="center"/>
          </w:tcPr>
          <w:p w14:paraId="32F841BF"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97 (82.9)</w:t>
            </w:r>
          </w:p>
        </w:tc>
        <w:tc>
          <w:tcPr>
            <w:tcW w:w="1807" w:type="dxa"/>
            <w:vAlign w:val="center"/>
          </w:tcPr>
          <w:p w14:paraId="78FF05D0"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20 (17.1%)</w:t>
            </w:r>
          </w:p>
        </w:tc>
      </w:tr>
      <w:tr w:rsidR="00A17147" w14:paraId="3ECDC974"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0A8F3C70"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16</w:t>
            </w:r>
          </w:p>
        </w:tc>
        <w:tc>
          <w:tcPr>
            <w:tcW w:w="4867" w:type="dxa"/>
            <w:vAlign w:val="center"/>
          </w:tcPr>
          <w:p w14:paraId="340E3E33"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¿Las sesiones de cabildo permiten la intervención de la ciudadanía durante la discusión de algún punto en la agenda?</w:t>
            </w:r>
          </w:p>
        </w:tc>
        <w:tc>
          <w:tcPr>
            <w:tcW w:w="1364" w:type="dxa"/>
            <w:vAlign w:val="center"/>
          </w:tcPr>
          <w:p w14:paraId="2174F622"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77 (65.8%)</w:t>
            </w:r>
          </w:p>
        </w:tc>
        <w:tc>
          <w:tcPr>
            <w:tcW w:w="1807" w:type="dxa"/>
            <w:vAlign w:val="center"/>
          </w:tcPr>
          <w:p w14:paraId="1F133465"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40 (34.2%)</w:t>
            </w:r>
          </w:p>
        </w:tc>
      </w:tr>
      <w:tr w:rsidR="00A17147" w14:paraId="2A869D9F"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77B63AE8"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17</w:t>
            </w:r>
          </w:p>
        </w:tc>
        <w:tc>
          <w:tcPr>
            <w:tcW w:w="4867" w:type="dxa"/>
            <w:vAlign w:val="center"/>
          </w:tcPr>
          <w:p w14:paraId="24FED955"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¿Las sesiones de cabildo se transmiten por algún medio de comunicación y/o difusión?</w:t>
            </w:r>
          </w:p>
        </w:tc>
        <w:tc>
          <w:tcPr>
            <w:tcW w:w="1364" w:type="dxa"/>
            <w:vAlign w:val="center"/>
          </w:tcPr>
          <w:p w14:paraId="5FE45FE1"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70 (59.8%)</w:t>
            </w:r>
          </w:p>
        </w:tc>
        <w:tc>
          <w:tcPr>
            <w:tcW w:w="1807" w:type="dxa"/>
            <w:vAlign w:val="center"/>
          </w:tcPr>
          <w:p w14:paraId="573F17F3"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47  (40.2%)</w:t>
            </w:r>
          </w:p>
        </w:tc>
      </w:tr>
      <w:tr w:rsidR="00A17147" w14:paraId="353E11A6"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09599629"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18</w:t>
            </w:r>
          </w:p>
        </w:tc>
        <w:tc>
          <w:tcPr>
            <w:tcW w:w="4867" w:type="dxa"/>
            <w:vAlign w:val="center"/>
          </w:tcPr>
          <w:p w14:paraId="4CE25B9D"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cabildo informa a la ciudadanía sobre las resoluciones tomadas?</w:t>
            </w:r>
          </w:p>
        </w:tc>
        <w:tc>
          <w:tcPr>
            <w:tcW w:w="1364" w:type="dxa"/>
            <w:vAlign w:val="center"/>
          </w:tcPr>
          <w:p w14:paraId="22E18322"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93 (79.5%)</w:t>
            </w:r>
          </w:p>
        </w:tc>
        <w:tc>
          <w:tcPr>
            <w:tcW w:w="1807" w:type="dxa"/>
            <w:vAlign w:val="center"/>
          </w:tcPr>
          <w:p w14:paraId="407074CF"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24 (20.5)</w:t>
            </w:r>
          </w:p>
        </w:tc>
      </w:tr>
      <w:tr w:rsidR="00A17147" w14:paraId="72B11404"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74" w:type="dxa"/>
            <w:vAlign w:val="center"/>
          </w:tcPr>
          <w:p w14:paraId="2937EF16"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19</w:t>
            </w:r>
          </w:p>
        </w:tc>
        <w:tc>
          <w:tcPr>
            <w:tcW w:w="4867" w:type="dxa"/>
            <w:vAlign w:val="center"/>
          </w:tcPr>
          <w:p w14:paraId="61DBFA67"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¿Hay alguna comisión edilicia para la promoción de la participación ciudadana?</w:t>
            </w:r>
          </w:p>
        </w:tc>
        <w:tc>
          <w:tcPr>
            <w:tcW w:w="1364" w:type="dxa"/>
            <w:vAlign w:val="center"/>
          </w:tcPr>
          <w:p w14:paraId="4F223256"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55 (47%)</w:t>
            </w:r>
          </w:p>
        </w:tc>
        <w:tc>
          <w:tcPr>
            <w:tcW w:w="1807" w:type="dxa"/>
            <w:vAlign w:val="center"/>
          </w:tcPr>
          <w:p w14:paraId="6DF1DCD0"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62 (53%)</w:t>
            </w:r>
          </w:p>
        </w:tc>
      </w:tr>
    </w:tbl>
    <w:p w14:paraId="0E59D26B"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p>
    <w:p w14:paraId="26EA1B2E"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p>
    <w:p w14:paraId="7E21720C" w14:textId="77777777" w:rsidR="00A17147" w:rsidRDefault="00853C93">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Módulo de preguntas sobre Transparencia</w:t>
      </w:r>
    </w:p>
    <w:p w14:paraId="64213B5B"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Este apartado se conformó por 17 preguntas, de las cuales 16 con opción de respuesta “Sí” o “No”. En algunos casos, se pidió ampliar la información habilitando para ello un espacio. Los resultados estadísticos de este módulo son: </w:t>
      </w:r>
    </w:p>
    <w:p w14:paraId="69EEFBC8"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tbl>
      <w:tblPr>
        <w:tblStyle w:val="a1"/>
        <w:tblW w:w="881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709"/>
        <w:gridCol w:w="4932"/>
        <w:gridCol w:w="1364"/>
        <w:gridCol w:w="1807"/>
      </w:tblGrid>
      <w:tr w:rsidR="00A17147" w14:paraId="3A3EC9B3" w14:textId="77777777" w:rsidTr="00A17147">
        <w:trPr>
          <w:cnfStyle w:val="100000000000" w:firstRow="1" w:lastRow="0" w:firstColumn="0" w:lastColumn="0" w:oddVBand="0" w:evenVBand="0" w:oddHBand="0" w:evenHBand="0" w:firstRowFirstColumn="0" w:firstRowLastColumn="0" w:lastRowFirstColumn="0" w:lastRowLastColumn="0"/>
          <w:trHeight w:val="243"/>
        </w:trPr>
        <w:tc>
          <w:tcPr>
            <w:cnfStyle w:val="001000000100" w:firstRow="0" w:lastRow="0" w:firstColumn="1" w:lastColumn="0" w:oddVBand="0" w:evenVBand="0" w:oddHBand="0" w:evenHBand="0" w:firstRowFirstColumn="1" w:firstRowLastColumn="0" w:lastRowFirstColumn="0" w:lastRowLastColumn="0"/>
            <w:tcW w:w="709" w:type="dxa"/>
            <w:vAlign w:val="center"/>
          </w:tcPr>
          <w:p w14:paraId="103E0CD0" w14:textId="77777777" w:rsidR="00A17147" w:rsidRDefault="00A17147">
            <w:pPr>
              <w:pBdr>
                <w:top w:val="nil"/>
                <w:left w:val="nil"/>
                <w:bottom w:val="nil"/>
                <w:right w:val="nil"/>
                <w:between w:val="nil"/>
              </w:pBdr>
              <w:jc w:val="center"/>
              <w:rPr>
                <w:rFonts w:ascii="Palatino Linotype" w:eastAsia="Palatino Linotype" w:hAnsi="Palatino Linotype" w:cs="Palatino Linotype"/>
                <w:color w:val="000000"/>
              </w:rPr>
            </w:pPr>
          </w:p>
        </w:tc>
        <w:tc>
          <w:tcPr>
            <w:tcW w:w="4932" w:type="dxa"/>
            <w:vAlign w:val="center"/>
          </w:tcPr>
          <w:p w14:paraId="377E4348" w14:textId="77777777" w:rsidR="00A17147" w:rsidRDefault="00A17147">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tc>
        <w:tc>
          <w:tcPr>
            <w:tcW w:w="3171" w:type="dxa"/>
            <w:gridSpan w:val="2"/>
            <w:vAlign w:val="center"/>
          </w:tcPr>
          <w:p w14:paraId="01E7F215" w14:textId="77777777" w:rsidR="00A17147" w:rsidRDefault="00853C93">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b w:val="0"/>
                <w:color w:val="000000"/>
              </w:rPr>
              <w:t>Respuesta</w:t>
            </w:r>
          </w:p>
        </w:tc>
      </w:tr>
      <w:tr w:rsidR="00A17147" w14:paraId="2FC39705" w14:textId="77777777" w:rsidTr="00A171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9" w:type="dxa"/>
            <w:vAlign w:val="center"/>
          </w:tcPr>
          <w:p w14:paraId="15CCA91B" w14:textId="77777777" w:rsidR="00A17147" w:rsidRDefault="00A17147">
            <w:pPr>
              <w:pBdr>
                <w:top w:val="nil"/>
                <w:left w:val="nil"/>
                <w:bottom w:val="nil"/>
                <w:right w:val="nil"/>
                <w:between w:val="nil"/>
              </w:pBdr>
              <w:jc w:val="center"/>
              <w:rPr>
                <w:rFonts w:ascii="Palatino Linotype" w:eastAsia="Palatino Linotype" w:hAnsi="Palatino Linotype" w:cs="Palatino Linotype"/>
                <w:color w:val="000000"/>
              </w:rPr>
            </w:pPr>
          </w:p>
        </w:tc>
        <w:tc>
          <w:tcPr>
            <w:tcW w:w="4932" w:type="dxa"/>
            <w:vAlign w:val="center"/>
          </w:tcPr>
          <w:p w14:paraId="67802974"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Pregunta</w:t>
            </w:r>
          </w:p>
        </w:tc>
        <w:tc>
          <w:tcPr>
            <w:tcW w:w="1364" w:type="dxa"/>
            <w:vAlign w:val="center"/>
          </w:tcPr>
          <w:p w14:paraId="3AC32D45"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Sí</w:t>
            </w:r>
          </w:p>
        </w:tc>
        <w:tc>
          <w:tcPr>
            <w:tcW w:w="1807" w:type="dxa"/>
            <w:vAlign w:val="center"/>
          </w:tcPr>
          <w:p w14:paraId="6CAC79A5"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No</w:t>
            </w:r>
          </w:p>
        </w:tc>
      </w:tr>
      <w:tr w:rsidR="00A17147" w14:paraId="304DD5A0"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D8559D4"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w:t>
            </w:r>
          </w:p>
        </w:tc>
        <w:tc>
          <w:tcPr>
            <w:tcW w:w="4932" w:type="dxa"/>
            <w:vAlign w:val="center"/>
          </w:tcPr>
          <w:p w14:paraId="7FD41100"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una página web con información vigente o actualizada?</w:t>
            </w:r>
          </w:p>
        </w:tc>
        <w:tc>
          <w:tcPr>
            <w:tcW w:w="1364" w:type="dxa"/>
            <w:vAlign w:val="center"/>
          </w:tcPr>
          <w:p w14:paraId="059D17ED" w14:textId="77777777" w:rsidR="00A17147" w:rsidRDefault="00853C93">
            <w:pPr>
              <w:pBdr>
                <w:top w:val="nil"/>
                <w:left w:val="nil"/>
                <w:bottom w:val="nil"/>
                <w:right w:val="nil"/>
                <w:between w:val="nil"/>
              </w:pBdr>
              <w:tabs>
                <w:tab w:val="left" w:pos="839"/>
              </w:tabs>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111 (94.9%)</w:t>
            </w:r>
          </w:p>
        </w:tc>
        <w:tc>
          <w:tcPr>
            <w:tcW w:w="1807" w:type="dxa"/>
            <w:vAlign w:val="center"/>
          </w:tcPr>
          <w:p w14:paraId="76AB9A5D"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6 (5.1%)</w:t>
            </w:r>
          </w:p>
        </w:tc>
      </w:tr>
      <w:tr w:rsidR="00A17147" w14:paraId="01BA8768"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35092E12"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2</w:t>
            </w:r>
          </w:p>
        </w:tc>
        <w:tc>
          <w:tcPr>
            <w:tcW w:w="4932" w:type="dxa"/>
            <w:vAlign w:val="center"/>
          </w:tcPr>
          <w:p w14:paraId="3C39454D"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 titular de Unidad de Transparencia certificado?</w:t>
            </w:r>
          </w:p>
        </w:tc>
        <w:tc>
          <w:tcPr>
            <w:tcW w:w="1364" w:type="dxa"/>
            <w:vAlign w:val="center"/>
          </w:tcPr>
          <w:p w14:paraId="7C246FDD"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56 (47.9%)</w:t>
            </w:r>
          </w:p>
        </w:tc>
        <w:tc>
          <w:tcPr>
            <w:tcW w:w="1807" w:type="dxa"/>
            <w:vAlign w:val="center"/>
          </w:tcPr>
          <w:p w14:paraId="1CE469C6" w14:textId="77777777" w:rsidR="00A17147" w:rsidRDefault="00853C93">
            <w:pPr>
              <w:pBdr>
                <w:top w:val="nil"/>
                <w:left w:val="nil"/>
                <w:bottom w:val="nil"/>
                <w:right w:val="nil"/>
                <w:between w:val="nil"/>
              </w:pBdr>
              <w:tabs>
                <w:tab w:val="left" w:pos="964"/>
              </w:tabs>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61 (52.1%)</w:t>
            </w:r>
          </w:p>
        </w:tc>
      </w:tr>
      <w:tr w:rsidR="00A17147" w14:paraId="656339D9" w14:textId="77777777" w:rsidTr="00A17147">
        <w:trPr>
          <w:trHeight w:val="255"/>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BE95647"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3</w:t>
            </w:r>
          </w:p>
        </w:tc>
        <w:tc>
          <w:tcPr>
            <w:tcW w:w="4932" w:type="dxa"/>
            <w:vAlign w:val="center"/>
          </w:tcPr>
          <w:p w14:paraId="719FD628"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¿Los servidores públicos habilitados se encuentran certificados?</w:t>
            </w:r>
          </w:p>
        </w:tc>
        <w:tc>
          <w:tcPr>
            <w:tcW w:w="1364" w:type="dxa"/>
            <w:vAlign w:val="center"/>
          </w:tcPr>
          <w:p w14:paraId="1BE7B0BF"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49 (41.9%)</w:t>
            </w:r>
          </w:p>
        </w:tc>
        <w:tc>
          <w:tcPr>
            <w:tcW w:w="1807" w:type="dxa"/>
            <w:vAlign w:val="center"/>
          </w:tcPr>
          <w:p w14:paraId="22745EBD"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68 (58.1%)</w:t>
            </w:r>
          </w:p>
        </w:tc>
      </w:tr>
      <w:tr w:rsidR="00A17147" w14:paraId="32795949"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AAF14B9"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4</w:t>
            </w:r>
          </w:p>
        </w:tc>
        <w:tc>
          <w:tcPr>
            <w:tcW w:w="4932" w:type="dxa"/>
            <w:vAlign w:val="center"/>
          </w:tcPr>
          <w:p w14:paraId="19BABD59"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¿La Unidad de Transparencia municipal cuenta con los recursos humanos para cumplir su función?</w:t>
            </w:r>
          </w:p>
        </w:tc>
        <w:tc>
          <w:tcPr>
            <w:tcW w:w="1364" w:type="dxa"/>
            <w:vAlign w:val="center"/>
          </w:tcPr>
          <w:p w14:paraId="2BFEC564"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79 (67.5%)</w:t>
            </w:r>
          </w:p>
        </w:tc>
        <w:tc>
          <w:tcPr>
            <w:tcW w:w="1807" w:type="dxa"/>
            <w:vAlign w:val="center"/>
          </w:tcPr>
          <w:p w14:paraId="67E760CC"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38 (32.5%)</w:t>
            </w:r>
          </w:p>
        </w:tc>
      </w:tr>
      <w:tr w:rsidR="00A17147" w14:paraId="42F8A835"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46323ED"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5</w:t>
            </w:r>
          </w:p>
        </w:tc>
        <w:tc>
          <w:tcPr>
            <w:tcW w:w="4932" w:type="dxa"/>
            <w:vAlign w:val="center"/>
          </w:tcPr>
          <w:p w14:paraId="1A663635"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¿La Unidad de Transparencia municipal cuenta con los recursos materiales para cumplir su función?</w:t>
            </w:r>
          </w:p>
        </w:tc>
        <w:tc>
          <w:tcPr>
            <w:tcW w:w="1364" w:type="dxa"/>
            <w:vAlign w:val="center"/>
          </w:tcPr>
          <w:p w14:paraId="5E3A5383"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74 (63.2%)</w:t>
            </w:r>
          </w:p>
        </w:tc>
        <w:tc>
          <w:tcPr>
            <w:tcW w:w="1807" w:type="dxa"/>
            <w:vAlign w:val="center"/>
          </w:tcPr>
          <w:p w14:paraId="7EA2B4A2"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43 (36.8%)</w:t>
            </w:r>
          </w:p>
        </w:tc>
      </w:tr>
      <w:tr w:rsidR="00A17147" w14:paraId="142781E5"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859CEBF"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6</w:t>
            </w:r>
          </w:p>
        </w:tc>
        <w:tc>
          <w:tcPr>
            <w:tcW w:w="4932" w:type="dxa"/>
            <w:vAlign w:val="center"/>
          </w:tcPr>
          <w:p w14:paraId="085D58E5"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¿La Unidad de Transparencia municipal cuenta con los recursos financieros para cumplir su función?</w:t>
            </w:r>
          </w:p>
        </w:tc>
        <w:tc>
          <w:tcPr>
            <w:tcW w:w="1364" w:type="dxa"/>
            <w:vAlign w:val="center"/>
          </w:tcPr>
          <w:p w14:paraId="00280510"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75 (64.1%)</w:t>
            </w:r>
          </w:p>
        </w:tc>
        <w:tc>
          <w:tcPr>
            <w:tcW w:w="1807" w:type="dxa"/>
            <w:vAlign w:val="center"/>
          </w:tcPr>
          <w:p w14:paraId="1A56EF50"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42 (35.9%)</w:t>
            </w:r>
          </w:p>
        </w:tc>
      </w:tr>
      <w:tr w:rsidR="00A17147" w14:paraId="16173F4D"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AAEE804"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lastRenderedPageBreak/>
              <w:t>7</w:t>
            </w:r>
          </w:p>
        </w:tc>
        <w:tc>
          <w:tcPr>
            <w:tcW w:w="4932" w:type="dxa"/>
            <w:vAlign w:val="center"/>
          </w:tcPr>
          <w:p w14:paraId="3307CBD5"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ha presentado en los últimos dos años alguna práctica de transparencia proactiva?</w:t>
            </w:r>
          </w:p>
        </w:tc>
        <w:tc>
          <w:tcPr>
            <w:tcW w:w="1364" w:type="dxa"/>
            <w:vAlign w:val="center"/>
          </w:tcPr>
          <w:p w14:paraId="4D238963"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38 (32.5%)</w:t>
            </w:r>
          </w:p>
        </w:tc>
        <w:tc>
          <w:tcPr>
            <w:tcW w:w="1807" w:type="dxa"/>
            <w:vAlign w:val="center"/>
          </w:tcPr>
          <w:p w14:paraId="675A8117"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79 (67.5%)</w:t>
            </w:r>
          </w:p>
        </w:tc>
      </w:tr>
      <w:tr w:rsidR="00A17147" w14:paraId="3977DB6F"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14E42EB0"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8</w:t>
            </w:r>
          </w:p>
        </w:tc>
        <w:tc>
          <w:tcPr>
            <w:tcW w:w="4932" w:type="dxa"/>
            <w:vAlign w:val="center"/>
          </w:tcPr>
          <w:p w14:paraId="10DFD4E1"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¿Conoces las atribuciones y funciones del Infoem?</w:t>
            </w:r>
          </w:p>
        </w:tc>
        <w:tc>
          <w:tcPr>
            <w:tcW w:w="1364" w:type="dxa"/>
            <w:vAlign w:val="center"/>
          </w:tcPr>
          <w:p w14:paraId="75F68564"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113 (96.6%)</w:t>
            </w:r>
          </w:p>
          <w:p w14:paraId="0D683C60" w14:textId="77777777" w:rsidR="00A17147" w:rsidRDefault="00A17147">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tc>
        <w:tc>
          <w:tcPr>
            <w:tcW w:w="1807" w:type="dxa"/>
            <w:vAlign w:val="center"/>
          </w:tcPr>
          <w:p w14:paraId="72E0E9D7"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4 (3.4%)</w:t>
            </w:r>
          </w:p>
        </w:tc>
      </w:tr>
      <w:tr w:rsidR="00A17147" w14:paraId="0DD10139"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62A14C1"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9</w:t>
            </w:r>
          </w:p>
        </w:tc>
        <w:tc>
          <w:tcPr>
            <w:tcW w:w="4932" w:type="dxa"/>
            <w:vAlign w:val="center"/>
          </w:tcPr>
          <w:p w14:paraId="576B0B60"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genera información de interés público?</w:t>
            </w:r>
          </w:p>
        </w:tc>
        <w:tc>
          <w:tcPr>
            <w:tcW w:w="1364" w:type="dxa"/>
            <w:vAlign w:val="center"/>
          </w:tcPr>
          <w:p w14:paraId="40A044DB"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108 (92.3%)</w:t>
            </w:r>
          </w:p>
        </w:tc>
        <w:tc>
          <w:tcPr>
            <w:tcW w:w="1807" w:type="dxa"/>
            <w:vAlign w:val="center"/>
          </w:tcPr>
          <w:p w14:paraId="5F7E5D5F"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9 (7.7%)</w:t>
            </w:r>
          </w:p>
        </w:tc>
      </w:tr>
      <w:tr w:rsidR="00A17147" w14:paraId="097AF51D"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62896EA"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10</w:t>
            </w:r>
          </w:p>
        </w:tc>
        <w:tc>
          <w:tcPr>
            <w:tcW w:w="4932" w:type="dxa"/>
            <w:vAlign w:val="center"/>
          </w:tcPr>
          <w:p w14:paraId="7E32531D"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informa sobre estadísticas relacionadas con la atención a solicitudes de información?</w:t>
            </w:r>
          </w:p>
        </w:tc>
        <w:tc>
          <w:tcPr>
            <w:tcW w:w="1364" w:type="dxa"/>
            <w:vAlign w:val="center"/>
          </w:tcPr>
          <w:p w14:paraId="6BAB8402"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82 (70.1%)</w:t>
            </w:r>
          </w:p>
        </w:tc>
        <w:tc>
          <w:tcPr>
            <w:tcW w:w="1807" w:type="dxa"/>
            <w:vAlign w:val="center"/>
          </w:tcPr>
          <w:p w14:paraId="2DF41FF6"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35 (29.9%)</w:t>
            </w:r>
          </w:p>
        </w:tc>
      </w:tr>
      <w:tr w:rsidR="00A17147" w14:paraId="3DD0BE82"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D1A1DB8"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11</w:t>
            </w:r>
          </w:p>
        </w:tc>
        <w:tc>
          <w:tcPr>
            <w:tcW w:w="4932" w:type="dxa"/>
            <w:vAlign w:val="center"/>
          </w:tcPr>
          <w:p w14:paraId="7DF300EB"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difunde activamente en la población temas relacionados con la transparencia y el acceso a la información?</w:t>
            </w:r>
          </w:p>
        </w:tc>
        <w:tc>
          <w:tcPr>
            <w:tcW w:w="1364" w:type="dxa"/>
            <w:vAlign w:val="center"/>
          </w:tcPr>
          <w:p w14:paraId="6E7738D8"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69 (59%)</w:t>
            </w:r>
          </w:p>
        </w:tc>
        <w:tc>
          <w:tcPr>
            <w:tcW w:w="1807" w:type="dxa"/>
            <w:vAlign w:val="center"/>
          </w:tcPr>
          <w:p w14:paraId="6ECCB1E0"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48 (41%)</w:t>
            </w:r>
          </w:p>
        </w:tc>
      </w:tr>
      <w:tr w:rsidR="00A17147" w14:paraId="536FAF6F"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C295CDE"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12</w:t>
            </w:r>
          </w:p>
        </w:tc>
        <w:tc>
          <w:tcPr>
            <w:tcW w:w="4932" w:type="dxa"/>
            <w:vAlign w:val="center"/>
          </w:tcPr>
          <w:p w14:paraId="29DC69BF"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información presentada en formato de datos abiertos?</w:t>
            </w:r>
          </w:p>
        </w:tc>
        <w:tc>
          <w:tcPr>
            <w:tcW w:w="1364" w:type="dxa"/>
            <w:vAlign w:val="center"/>
          </w:tcPr>
          <w:p w14:paraId="07D1879A"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70 (59.8%)</w:t>
            </w:r>
          </w:p>
        </w:tc>
        <w:tc>
          <w:tcPr>
            <w:tcW w:w="1807" w:type="dxa"/>
            <w:vAlign w:val="center"/>
          </w:tcPr>
          <w:p w14:paraId="0C4BCFCD"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47 (40.2%)</w:t>
            </w:r>
          </w:p>
        </w:tc>
      </w:tr>
      <w:tr w:rsidR="00A17147" w14:paraId="76BE7946"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EAA057E"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13</w:t>
            </w:r>
          </w:p>
        </w:tc>
        <w:tc>
          <w:tcPr>
            <w:tcW w:w="4932" w:type="dxa"/>
            <w:vAlign w:val="center"/>
          </w:tcPr>
          <w:p w14:paraId="5BA1C09D"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una unidad administrativa responsable de la actualización de bases de datos?</w:t>
            </w:r>
          </w:p>
        </w:tc>
        <w:tc>
          <w:tcPr>
            <w:tcW w:w="1364" w:type="dxa"/>
            <w:vAlign w:val="center"/>
          </w:tcPr>
          <w:p w14:paraId="67671B07"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68 (58.1%)</w:t>
            </w:r>
          </w:p>
        </w:tc>
        <w:tc>
          <w:tcPr>
            <w:tcW w:w="1807" w:type="dxa"/>
            <w:vAlign w:val="center"/>
          </w:tcPr>
          <w:p w14:paraId="7984CD22"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49 (41.9%)</w:t>
            </w:r>
          </w:p>
        </w:tc>
      </w:tr>
      <w:tr w:rsidR="00A17147" w14:paraId="23B1776D"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43F703D"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14</w:t>
            </w:r>
          </w:p>
        </w:tc>
        <w:tc>
          <w:tcPr>
            <w:tcW w:w="4932" w:type="dxa"/>
            <w:vAlign w:val="center"/>
          </w:tcPr>
          <w:p w14:paraId="10C186BD"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 registro de la utilización ciudadana de los datos abiertos?</w:t>
            </w:r>
          </w:p>
        </w:tc>
        <w:tc>
          <w:tcPr>
            <w:tcW w:w="1364" w:type="dxa"/>
            <w:vAlign w:val="center"/>
          </w:tcPr>
          <w:p w14:paraId="6B5ACB70"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29 (24.8%)</w:t>
            </w:r>
          </w:p>
        </w:tc>
        <w:tc>
          <w:tcPr>
            <w:tcW w:w="1807" w:type="dxa"/>
            <w:vAlign w:val="center"/>
          </w:tcPr>
          <w:p w14:paraId="153B6C2B"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88 (75.2%)</w:t>
            </w:r>
          </w:p>
        </w:tc>
      </w:tr>
      <w:tr w:rsidR="00A17147" w14:paraId="6B2E81B6"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A3F6736"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15</w:t>
            </w:r>
          </w:p>
        </w:tc>
        <w:tc>
          <w:tcPr>
            <w:tcW w:w="4932" w:type="dxa"/>
            <w:vAlign w:val="center"/>
          </w:tcPr>
          <w:p w14:paraId="1D6781EC"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comunica a la ciudadanía sobre la existencia de información en datos abiertos?</w:t>
            </w:r>
          </w:p>
        </w:tc>
        <w:tc>
          <w:tcPr>
            <w:tcW w:w="1364" w:type="dxa"/>
            <w:vAlign w:val="center"/>
          </w:tcPr>
          <w:p w14:paraId="26F00584"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31 (26.5%)</w:t>
            </w:r>
          </w:p>
        </w:tc>
        <w:tc>
          <w:tcPr>
            <w:tcW w:w="1807" w:type="dxa"/>
            <w:vAlign w:val="center"/>
          </w:tcPr>
          <w:p w14:paraId="61105711"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86 (73.5%)</w:t>
            </w:r>
          </w:p>
          <w:p w14:paraId="4AE91745" w14:textId="77777777" w:rsidR="00A17147" w:rsidRDefault="00A17147">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tc>
      </w:tr>
    </w:tbl>
    <w:p w14:paraId="7233268A"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p>
    <w:p w14:paraId="2F5A6D0D"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p>
    <w:p w14:paraId="3B165B5F" w14:textId="77777777" w:rsidR="00A17147" w:rsidRDefault="00853C93">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Módulo de preguntas sobre Rendición de Cuentas</w:t>
      </w:r>
    </w:p>
    <w:p w14:paraId="63BC2892"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Este apartado se conformó por 12 preguntas, todas con opción de respuesta “Sí” o “No”. En algunos casos, se pidió </w:t>
      </w:r>
      <w:r>
        <w:rPr>
          <w:rFonts w:ascii="Palatino Linotype" w:eastAsia="Palatino Linotype" w:hAnsi="Palatino Linotype" w:cs="Palatino Linotype"/>
        </w:rPr>
        <w:t xml:space="preserve">detallar </w:t>
      </w:r>
      <w:r>
        <w:rPr>
          <w:rFonts w:ascii="Palatino Linotype" w:eastAsia="Palatino Linotype" w:hAnsi="Palatino Linotype" w:cs="Palatino Linotype"/>
          <w:color w:val="000000"/>
        </w:rPr>
        <w:t xml:space="preserve">la información habilitando para ello un espacio. Los resultados estadísticos de este módulo son: </w:t>
      </w:r>
    </w:p>
    <w:p w14:paraId="446D59CE" w14:textId="77777777" w:rsidR="00A17147" w:rsidRDefault="00A17147">
      <w:pPr>
        <w:pBdr>
          <w:top w:val="nil"/>
          <w:left w:val="nil"/>
          <w:bottom w:val="nil"/>
          <w:right w:val="nil"/>
          <w:between w:val="nil"/>
        </w:pBdr>
        <w:spacing w:after="0" w:line="240" w:lineRule="auto"/>
        <w:ind w:left="720"/>
        <w:jc w:val="both"/>
        <w:rPr>
          <w:rFonts w:ascii="Palatino Linotype" w:eastAsia="Palatino Linotype" w:hAnsi="Palatino Linotype" w:cs="Palatino Linotype"/>
          <w:color w:val="000000"/>
        </w:rPr>
      </w:pPr>
    </w:p>
    <w:tbl>
      <w:tblPr>
        <w:tblStyle w:val="a2"/>
        <w:tblW w:w="881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709"/>
        <w:gridCol w:w="4932"/>
        <w:gridCol w:w="1364"/>
        <w:gridCol w:w="1807"/>
      </w:tblGrid>
      <w:tr w:rsidR="00A17147" w14:paraId="4451DE4D" w14:textId="77777777" w:rsidTr="00A17147">
        <w:trPr>
          <w:cnfStyle w:val="100000000000" w:firstRow="1" w:lastRow="0" w:firstColumn="0" w:lastColumn="0" w:oddVBand="0" w:evenVBand="0" w:oddHBand="0" w:evenHBand="0" w:firstRowFirstColumn="0" w:firstRowLastColumn="0" w:lastRowFirstColumn="0" w:lastRowLastColumn="0"/>
          <w:trHeight w:val="243"/>
        </w:trPr>
        <w:tc>
          <w:tcPr>
            <w:cnfStyle w:val="001000000100" w:firstRow="0" w:lastRow="0" w:firstColumn="1" w:lastColumn="0" w:oddVBand="0" w:evenVBand="0" w:oddHBand="0" w:evenHBand="0" w:firstRowFirstColumn="1" w:firstRowLastColumn="0" w:lastRowFirstColumn="0" w:lastRowLastColumn="0"/>
            <w:tcW w:w="709" w:type="dxa"/>
          </w:tcPr>
          <w:p w14:paraId="321B1BD6" w14:textId="77777777" w:rsidR="00A17147" w:rsidRDefault="00A17147">
            <w:pPr>
              <w:pBdr>
                <w:top w:val="nil"/>
                <w:left w:val="nil"/>
                <w:bottom w:val="nil"/>
                <w:right w:val="nil"/>
                <w:between w:val="nil"/>
              </w:pBdr>
              <w:jc w:val="center"/>
              <w:rPr>
                <w:rFonts w:ascii="Palatino Linotype" w:eastAsia="Palatino Linotype" w:hAnsi="Palatino Linotype" w:cs="Palatino Linotype"/>
                <w:color w:val="000000"/>
              </w:rPr>
            </w:pPr>
          </w:p>
        </w:tc>
        <w:tc>
          <w:tcPr>
            <w:tcW w:w="4932" w:type="dxa"/>
          </w:tcPr>
          <w:p w14:paraId="5507BF13" w14:textId="77777777" w:rsidR="00A17147" w:rsidRDefault="00A17147">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tc>
        <w:tc>
          <w:tcPr>
            <w:tcW w:w="3171" w:type="dxa"/>
            <w:gridSpan w:val="2"/>
          </w:tcPr>
          <w:p w14:paraId="253A300B" w14:textId="77777777" w:rsidR="00A17147" w:rsidRDefault="00853C93">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b w:val="0"/>
                <w:color w:val="000000"/>
              </w:rPr>
              <w:t>Respuesta</w:t>
            </w:r>
          </w:p>
        </w:tc>
      </w:tr>
      <w:tr w:rsidR="00A17147" w14:paraId="7552FE03" w14:textId="77777777" w:rsidTr="00A171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9" w:type="dxa"/>
          </w:tcPr>
          <w:p w14:paraId="13CA14AE" w14:textId="77777777" w:rsidR="00A17147" w:rsidRDefault="00A17147">
            <w:pPr>
              <w:pBdr>
                <w:top w:val="nil"/>
                <w:left w:val="nil"/>
                <w:bottom w:val="nil"/>
                <w:right w:val="nil"/>
                <w:between w:val="nil"/>
              </w:pBdr>
              <w:jc w:val="center"/>
              <w:rPr>
                <w:rFonts w:ascii="Palatino Linotype" w:eastAsia="Palatino Linotype" w:hAnsi="Palatino Linotype" w:cs="Palatino Linotype"/>
                <w:color w:val="000000"/>
              </w:rPr>
            </w:pPr>
          </w:p>
        </w:tc>
        <w:tc>
          <w:tcPr>
            <w:tcW w:w="4932" w:type="dxa"/>
          </w:tcPr>
          <w:p w14:paraId="4A880F7B"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Pregunta</w:t>
            </w:r>
          </w:p>
        </w:tc>
        <w:tc>
          <w:tcPr>
            <w:tcW w:w="1364" w:type="dxa"/>
          </w:tcPr>
          <w:p w14:paraId="60C6CB55"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Sí</w:t>
            </w:r>
          </w:p>
        </w:tc>
        <w:tc>
          <w:tcPr>
            <w:tcW w:w="1807" w:type="dxa"/>
          </w:tcPr>
          <w:p w14:paraId="45735A10"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No</w:t>
            </w:r>
          </w:p>
        </w:tc>
      </w:tr>
      <w:tr w:rsidR="00A17147" w14:paraId="3853C060"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09" w:type="dxa"/>
          </w:tcPr>
          <w:p w14:paraId="0BE7B001"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w:t>
            </w:r>
          </w:p>
        </w:tc>
        <w:tc>
          <w:tcPr>
            <w:tcW w:w="4932" w:type="dxa"/>
            <w:vAlign w:val="center"/>
          </w:tcPr>
          <w:p w14:paraId="5257D407"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 mecanismo para que la ciudadanía evalúe el actuar del gobierno?</w:t>
            </w:r>
          </w:p>
        </w:tc>
        <w:tc>
          <w:tcPr>
            <w:tcW w:w="1364" w:type="dxa"/>
          </w:tcPr>
          <w:p w14:paraId="0E6DFD31"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36 (30.8%)</w:t>
            </w:r>
          </w:p>
        </w:tc>
        <w:tc>
          <w:tcPr>
            <w:tcW w:w="1807" w:type="dxa"/>
          </w:tcPr>
          <w:p w14:paraId="2C9702D0"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81  (69.2%)</w:t>
            </w:r>
          </w:p>
        </w:tc>
      </w:tr>
      <w:tr w:rsidR="00A17147" w14:paraId="71B2599B"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09" w:type="dxa"/>
          </w:tcPr>
          <w:p w14:paraId="0008026A"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2</w:t>
            </w:r>
          </w:p>
        </w:tc>
        <w:tc>
          <w:tcPr>
            <w:tcW w:w="4932" w:type="dxa"/>
            <w:vAlign w:val="center"/>
          </w:tcPr>
          <w:p w14:paraId="4E514053"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retroalimenta la evaluación hecha por la ciudadanía?</w:t>
            </w:r>
          </w:p>
        </w:tc>
        <w:tc>
          <w:tcPr>
            <w:tcW w:w="1364" w:type="dxa"/>
          </w:tcPr>
          <w:p w14:paraId="1E1D8340"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46 (39.3%)</w:t>
            </w:r>
          </w:p>
        </w:tc>
        <w:tc>
          <w:tcPr>
            <w:tcW w:w="1807" w:type="dxa"/>
          </w:tcPr>
          <w:p w14:paraId="6D410038"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71 (60.7%)</w:t>
            </w:r>
          </w:p>
        </w:tc>
      </w:tr>
      <w:tr w:rsidR="00A17147" w14:paraId="441CD9D8"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09" w:type="dxa"/>
          </w:tcPr>
          <w:p w14:paraId="6224737C"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3</w:t>
            </w:r>
          </w:p>
        </w:tc>
        <w:tc>
          <w:tcPr>
            <w:tcW w:w="4932" w:type="dxa"/>
            <w:vAlign w:val="center"/>
          </w:tcPr>
          <w:p w14:paraId="2B6F56B5"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¿Hay evaluación a la gestión de los instrumentos de participación ciudadana (COCICOVI, COPACI, etc.)?</w:t>
            </w:r>
          </w:p>
        </w:tc>
        <w:tc>
          <w:tcPr>
            <w:tcW w:w="1364" w:type="dxa"/>
          </w:tcPr>
          <w:p w14:paraId="695E1E7D"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59 (50.4%)</w:t>
            </w:r>
          </w:p>
        </w:tc>
        <w:tc>
          <w:tcPr>
            <w:tcW w:w="1807" w:type="dxa"/>
          </w:tcPr>
          <w:p w14:paraId="5AC49F37"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58 (49.6%)</w:t>
            </w:r>
          </w:p>
        </w:tc>
      </w:tr>
      <w:tr w:rsidR="00A17147" w14:paraId="7C4F5BA2" w14:textId="77777777" w:rsidTr="00A171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9" w:type="dxa"/>
          </w:tcPr>
          <w:p w14:paraId="21DE1DA5"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lastRenderedPageBreak/>
              <w:t>4</w:t>
            </w:r>
          </w:p>
        </w:tc>
        <w:tc>
          <w:tcPr>
            <w:tcW w:w="4932" w:type="dxa"/>
            <w:vAlign w:val="center"/>
          </w:tcPr>
          <w:p w14:paraId="6124052D"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promueve la evaluación ciudadana a la gestión pública?</w:t>
            </w:r>
          </w:p>
        </w:tc>
        <w:tc>
          <w:tcPr>
            <w:tcW w:w="1364" w:type="dxa"/>
          </w:tcPr>
          <w:p w14:paraId="3DE77F11"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49 (41.9%)</w:t>
            </w:r>
          </w:p>
        </w:tc>
        <w:tc>
          <w:tcPr>
            <w:tcW w:w="1807" w:type="dxa"/>
          </w:tcPr>
          <w:p w14:paraId="75028258"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68 (58.1%)</w:t>
            </w:r>
          </w:p>
        </w:tc>
      </w:tr>
      <w:tr w:rsidR="00A17147" w14:paraId="47300376"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09" w:type="dxa"/>
          </w:tcPr>
          <w:p w14:paraId="0B7B44D3"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5</w:t>
            </w:r>
          </w:p>
        </w:tc>
        <w:tc>
          <w:tcPr>
            <w:tcW w:w="4932" w:type="dxa"/>
            <w:vAlign w:val="center"/>
          </w:tcPr>
          <w:p w14:paraId="130C0695"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¿Se difunde adecuadamente el informe anual presentado por las autoridades municipales?</w:t>
            </w:r>
          </w:p>
        </w:tc>
        <w:tc>
          <w:tcPr>
            <w:tcW w:w="1364" w:type="dxa"/>
          </w:tcPr>
          <w:p w14:paraId="4F6530E2"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107 (91.5%)</w:t>
            </w:r>
          </w:p>
        </w:tc>
        <w:tc>
          <w:tcPr>
            <w:tcW w:w="1807" w:type="dxa"/>
          </w:tcPr>
          <w:p w14:paraId="78113520"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10 (8.5%)</w:t>
            </w:r>
          </w:p>
        </w:tc>
      </w:tr>
      <w:tr w:rsidR="00A17147" w14:paraId="4DAE88B4"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09" w:type="dxa"/>
          </w:tcPr>
          <w:p w14:paraId="1801A301"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6</w:t>
            </w:r>
          </w:p>
        </w:tc>
        <w:tc>
          <w:tcPr>
            <w:tcW w:w="4932" w:type="dxa"/>
            <w:vAlign w:val="center"/>
          </w:tcPr>
          <w:p w14:paraId="11D72EBD"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¿Existe </w:t>
            </w:r>
            <w:r>
              <w:rPr>
                <w:rFonts w:ascii="Palatino Linotype" w:eastAsia="Palatino Linotype" w:hAnsi="Palatino Linotype" w:cs="Palatino Linotype"/>
              </w:rPr>
              <w:t>alguna</w:t>
            </w:r>
            <w:r>
              <w:rPr>
                <w:rFonts w:ascii="Palatino Linotype" w:eastAsia="Palatino Linotype" w:hAnsi="Palatino Linotype" w:cs="Palatino Linotype"/>
                <w:color w:val="000000"/>
              </w:rPr>
              <w:t xml:space="preserve"> forma de evaluación ciudadana sobre el informe anual de gestión?</w:t>
            </w:r>
          </w:p>
        </w:tc>
        <w:tc>
          <w:tcPr>
            <w:tcW w:w="1364" w:type="dxa"/>
          </w:tcPr>
          <w:p w14:paraId="0728C62E"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24 (20.5%)</w:t>
            </w:r>
          </w:p>
        </w:tc>
        <w:tc>
          <w:tcPr>
            <w:tcW w:w="1807" w:type="dxa"/>
          </w:tcPr>
          <w:p w14:paraId="42478B0F"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93 (79.5%)</w:t>
            </w:r>
          </w:p>
        </w:tc>
      </w:tr>
      <w:tr w:rsidR="00A17147" w14:paraId="790AECF8"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09" w:type="dxa"/>
          </w:tcPr>
          <w:p w14:paraId="3BBF3B74"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7</w:t>
            </w:r>
          </w:p>
        </w:tc>
        <w:tc>
          <w:tcPr>
            <w:tcW w:w="4932" w:type="dxa"/>
            <w:vAlign w:val="center"/>
          </w:tcPr>
          <w:p w14:paraId="3258B7B8"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¿Hay participación ciudadana para la integración del informe anual de gestión?</w:t>
            </w:r>
          </w:p>
        </w:tc>
        <w:tc>
          <w:tcPr>
            <w:tcW w:w="1364" w:type="dxa"/>
          </w:tcPr>
          <w:p w14:paraId="108CDAE0"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49 (41.9%)</w:t>
            </w:r>
          </w:p>
        </w:tc>
        <w:tc>
          <w:tcPr>
            <w:tcW w:w="1807" w:type="dxa"/>
          </w:tcPr>
          <w:p w14:paraId="06B56C5D"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68 (58.1)</w:t>
            </w:r>
          </w:p>
        </w:tc>
      </w:tr>
      <w:tr w:rsidR="00A17147" w14:paraId="6F51FE1C"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09" w:type="dxa"/>
          </w:tcPr>
          <w:p w14:paraId="3331E759"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8</w:t>
            </w:r>
          </w:p>
        </w:tc>
        <w:tc>
          <w:tcPr>
            <w:tcW w:w="4932" w:type="dxa"/>
            <w:vAlign w:val="center"/>
          </w:tcPr>
          <w:p w14:paraId="1C85018C"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una comisión edilicia de ética en la función pública?</w:t>
            </w:r>
          </w:p>
        </w:tc>
        <w:tc>
          <w:tcPr>
            <w:tcW w:w="1364" w:type="dxa"/>
          </w:tcPr>
          <w:p w14:paraId="359924E3"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38 (32.5%)</w:t>
            </w:r>
          </w:p>
        </w:tc>
        <w:tc>
          <w:tcPr>
            <w:tcW w:w="1807" w:type="dxa"/>
          </w:tcPr>
          <w:p w14:paraId="4F28E7D0"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79 (67.5%)</w:t>
            </w:r>
          </w:p>
        </w:tc>
      </w:tr>
      <w:tr w:rsidR="00A17147" w14:paraId="6A2B4C70"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09" w:type="dxa"/>
          </w:tcPr>
          <w:p w14:paraId="378E796D"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9</w:t>
            </w:r>
          </w:p>
        </w:tc>
        <w:tc>
          <w:tcPr>
            <w:tcW w:w="4932" w:type="dxa"/>
            <w:vAlign w:val="center"/>
          </w:tcPr>
          <w:p w14:paraId="6FD50ACF"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una contraloría independiente que controle y evalúe el ejercicio presupuestal?</w:t>
            </w:r>
          </w:p>
        </w:tc>
        <w:tc>
          <w:tcPr>
            <w:tcW w:w="1364" w:type="dxa"/>
          </w:tcPr>
          <w:p w14:paraId="5B0C9A96"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56 (47.9%)</w:t>
            </w:r>
          </w:p>
        </w:tc>
        <w:tc>
          <w:tcPr>
            <w:tcW w:w="1807" w:type="dxa"/>
          </w:tcPr>
          <w:p w14:paraId="0D936235"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61 (52.1%)</w:t>
            </w:r>
          </w:p>
        </w:tc>
      </w:tr>
      <w:tr w:rsidR="00A17147" w14:paraId="48AA3001"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09" w:type="dxa"/>
          </w:tcPr>
          <w:p w14:paraId="1A2065F1"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10</w:t>
            </w:r>
          </w:p>
        </w:tc>
        <w:tc>
          <w:tcPr>
            <w:tcW w:w="4932" w:type="dxa"/>
            <w:vAlign w:val="center"/>
          </w:tcPr>
          <w:p w14:paraId="67F38EB0"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promueve acciones tendentes a reducir posibles casos de corrupción?</w:t>
            </w:r>
          </w:p>
        </w:tc>
        <w:tc>
          <w:tcPr>
            <w:tcW w:w="1364" w:type="dxa"/>
          </w:tcPr>
          <w:p w14:paraId="05B5E25D"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107 (91.5%)</w:t>
            </w:r>
          </w:p>
        </w:tc>
        <w:tc>
          <w:tcPr>
            <w:tcW w:w="1807" w:type="dxa"/>
          </w:tcPr>
          <w:p w14:paraId="2DB9B6E5"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10 (8.5%)</w:t>
            </w:r>
          </w:p>
        </w:tc>
      </w:tr>
      <w:tr w:rsidR="00A17147" w14:paraId="66A826A8"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09" w:type="dxa"/>
          </w:tcPr>
          <w:p w14:paraId="440074C6"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11</w:t>
            </w:r>
          </w:p>
        </w:tc>
        <w:tc>
          <w:tcPr>
            <w:tcW w:w="4932" w:type="dxa"/>
            <w:vAlign w:val="center"/>
          </w:tcPr>
          <w:p w14:paraId="608CA4AC"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 mecanismo de denuncia sobre actos de corrupción?</w:t>
            </w:r>
          </w:p>
        </w:tc>
        <w:tc>
          <w:tcPr>
            <w:tcW w:w="1364" w:type="dxa"/>
          </w:tcPr>
          <w:p w14:paraId="0E964509"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99 (84.6%)</w:t>
            </w:r>
          </w:p>
        </w:tc>
        <w:tc>
          <w:tcPr>
            <w:tcW w:w="1807" w:type="dxa"/>
          </w:tcPr>
          <w:p w14:paraId="35E328FC"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18 (15.4%)</w:t>
            </w:r>
          </w:p>
        </w:tc>
      </w:tr>
      <w:tr w:rsidR="00A17147" w14:paraId="3D8FB711"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09" w:type="dxa"/>
          </w:tcPr>
          <w:p w14:paraId="5BDFF670"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12</w:t>
            </w:r>
          </w:p>
        </w:tc>
        <w:tc>
          <w:tcPr>
            <w:tcW w:w="4932" w:type="dxa"/>
            <w:vAlign w:val="center"/>
          </w:tcPr>
          <w:p w14:paraId="39FE06BF"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procedimientos para identificar actos de corrupción?</w:t>
            </w:r>
          </w:p>
        </w:tc>
        <w:tc>
          <w:tcPr>
            <w:tcW w:w="1364" w:type="dxa"/>
          </w:tcPr>
          <w:p w14:paraId="6155A1FB"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88 (75.2%)</w:t>
            </w:r>
          </w:p>
        </w:tc>
        <w:tc>
          <w:tcPr>
            <w:tcW w:w="1807" w:type="dxa"/>
          </w:tcPr>
          <w:p w14:paraId="2D33F6CC"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29 (24.8%)</w:t>
            </w:r>
          </w:p>
        </w:tc>
      </w:tr>
    </w:tbl>
    <w:p w14:paraId="4D6EE18A"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p>
    <w:p w14:paraId="31CF4739"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p>
    <w:p w14:paraId="77EC123F" w14:textId="77777777" w:rsidR="00A17147" w:rsidRDefault="00853C93">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Módulo de preguntas sobre Tecnologías de la Información y Comunicación</w:t>
      </w:r>
    </w:p>
    <w:p w14:paraId="3684F219"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Este apartado se conformó por 6 preguntas, todas con opción de respuesta “Sí” o “No”. En algunos casos, se pidió </w:t>
      </w:r>
      <w:r>
        <w:rPr>
          <w:rFonts w:ascii="Palatino Linotype" w:eastAsia="Palatino Linotype" w:hAnsi="Palatino Linotype" w:cs="Palatino Linotype"/>
        </w:rPr>
        <w:t xml:space="preserve">abundar </w:t>
      </w:r>
      <w:r>
        <w:rPr>
          <w:rFonts w:ascii="Palatino Linotype" w:eastAsia="Palatino Linotype" w:hAnsi="Palatino Linotype" w:cs="Palatino Linotype"/>
          <w:color w:val="000000"/>
        </w:rPr>
        <w:t xml:space="preserve">la información habilitando para ello un espacio. Los resultados estadísticos de este módulo son: </w:t>
      </w:r>
    </w:p>
    <w:p w14:paraId="254882A0" w14:textId="77777777" w:rsidR="00A17147" w:rsidRDefault="00A17147">
      <w:pPr>
        <w:pBdr>
          <w:top w:val="nil"/>
          <w:left w:val="nil"/>
          <w:bottom w:val="nil"/>
          <w:right w:val="nil"/>
          <w:between w:val="nil"/>
        </w:pBdr>
        <w:spacing w:after="0" w:line="240" w:lineRule="auto"/>
        <w:ind w:left="720"/>
        <w:jc w:val="both"/>
        <w:rPr>
          <w:rFonts w:ascii="Palatino Linotype" w:eastAsia="Palatino Linotype" w:hAnsi="Palatino Linotype" w:cs="Palatino Linotype"/>
          <w:color w:val="000000"/>
        </w:rPr>
      </w:pPr>
    </w:p>
    <w:tbl>
      <w:tblPr>
        <w:tblStyle w:val="a3"/>
        <w:tblW w:w="881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709"/>
        <w:gridCol w:w="4932"/>
        <w:gridCol w:w="1364"/>
        <w:gridCol w:w="1807"/>
      </w:tblGrid>
      <w:tr w:rsidR="00A17147" w14:paraId="1630C7E6" w14:textId="77777777" w:rsidTr="00A17147">
        <w:trPr>
          <w:cnfStyle w:val="100000000000" w:firstRow="1" w:lastRow="0" w:firstColumn="0" w:lastColumn="0" w:oddVBand="0" w:evenVBand="0" w:oddHBand="0" w:evenHBand="0" w:firstRowFirstColumn="0" w:firstRowLastColumn="0" w:lastRowFirstColumn="0" w:lastRowLastColumn="0"/>
          <w:trHeight w:val="243"/>
        </w:trPr>
        <w:tc>
          <w:tcPr>
            <w:cnfStyle w:val="001000000100" w:firstRow="0" w:lastRow="0" w:firstColumn="1" w:lastColumn="0" w:oddVBand="0" w:evenVBand="0" w:oddHBand="0" w:evenHBand="0" w:firstRowFirstColumn="1" w:firstRowLastColumn="0" w:lastRowFirstColumn="0" w:lastRowLastColumn="0"/>
            <w:tcW w:w="709" w:type="dxa"/>
          </w:tcPr>
          <w:p w14:paraId="69C7E9EC" w14:textId="77777777" w:rsidR="00A17147" w:rsidRDefault="00A17147">
            <w:pPr>
              <w:pBdr>
                <w:top w:val="nil"/>
                <w:left w:val="nil"/>
                <w:bottom w:val="nil"/>
                <w:right w:val="nil"/>
                <w:between w:val="nil"/>
              </w:pBdr>
              <w:jc w:val="center"/>
              <w:rPr>
                <w:rFonts w:ascii="Palatino Linotype" w:eastAsia="Palatino Linotype" w:hAnsi="Palatino Linotype" w:cs="Palatino Linotype"/>
                <w:color w:val="000000"/>
              </w:rPr>
            </w:pPr>
          </w:p>
        </w:tc>
        <w:tc>
          <w:tcPr>
            <w:tcW w:w="4932" w:type="dxa"/>
          </w:tcPr>
          <w:p w14:paraId="3565EC9C" w14:textId="77777777" w:rsidR="00A17147" w:rsidRDefault="00A17147">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tc>
        <w:tc>
          <w:tcPr>
            <w:tcW w:w="3171" w:type="dxa"/>
            <w:gridSpan w:val="2"/>
          </w:tcPr>
          <w:p w14:paraId="2232E967" w14:textId="77777777" w:rsidR="00A17147" w:rsidRDefault="00853C93">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b w:val="0"/>
                <w:color w:val="000000"/>
              </w:rPr>
              <w:t>Respuesta</w:t>
            </w:r>
          </w:p>
        </w:tc>
      </w:tr>
      <w:tr w:rsidR="00A17147" w14:paraId="3DF73002" w14:textId="77777777" w:rsidTr="00A171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9" w:type="dxa"/>
          </w:tcPr>
          <w:p w14:paraId="68716DDC" w14:textId="77777777" w:rsidR="00A17147" w:rsidRDefault="00A17147">
            <w:pPr>
              <w:pBdr>
                <w:top w:val="nil"/>
                <w:left w:val="nil"/>
                <w:bottom w:val="nil"/>
                <w:right w:val="nil"/>
                <w:between w:val="nil"/>
              </w:pBdr>
              <w:jc w:val="center"/>
              <w:rPr>
                <w:rFonts w:ascii="Palatino Linotype" w:eastAsia="Palatino Linotype" w:hAnsi="Palatino Linotype" w:cs="Palatino Linotype"/>
                <w:color w:val="000000"/>
              </w:rPr>
            </w:pPr>
          </w:p>
        </w:tc>
        <w:tc>
          <w:tcPr>
            <w:tcW w:w="4932" w:type="dxa"/>
          </w:tcPr>
          <w:p w14:paraId="629090AC"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Pregunta</w:t>
            </w:r>
          </w:p>
        </w:tc>
        <w:tc>
          <w:tcPr>
            <w:tcW w:w="1364" w:type="dxa"/>
            <w:vAlign w:val="center"/>
          </w:tcPr>
          <w:p w14:paraId="5F0B0B12"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Sí</w:t>
            </w:r>
          </w:p>
        </w:tc>
        <w:tc>
          <w:tcPr>
            <w:tcW w:w="1807" w:type="dxa"/>
            <w:vAlign w:val="center"/>
          </w:tcPr>
          <w:p w14:paraId="45B4A3A8"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No</w:t>
            </w:r>
          </w:p>
        </w:tc>
      </w:tr>
      <w:tr w:rsidR="00A17147" w14:paraId="275BA6C4"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09" w:type="dxa"/>
          </w:tcPr>
          <w:p w14:paraId="4EF99D9C"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1</w:t>
            </w:r>
          </w:p>
        </w:tc>
        <w:tc>
          <w:tcPr>
            <w:tcW w:w="4932" w:type="dxa"/>
            <w:vAlign w:val="center"/>
          </w:tcPr>
          <w:p w14:paraId="59203E31"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una unidad administrativa responsable del diseño e implementación de medios digitales para la gestión pública?</w:t>
            </w:r>
          </w:p>
        </w:tc>
        <w:tc>
          <w:tcPr>
            <w:tcW w:w="1364" w:type="dxa"/>
            <w:vAlign w:val="center"/>
          </w:tcPr>
          <w:p w14:paraId="44FEB372"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83 (70.9%)</w:t>
            </w:r>
          </w:p>
        </w:tc>
        <w:tc>
          <w:tcPr>
            <w:tcW w:w="1807" w:type="dxa"/>
            <w:vAlign w:val="center"/>
          </w:tcPr>
          <w:p w14:paraId="7A36E77D"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34 (29.1%)</w:t>
            </w:r>
          </w:p>
        </w:tc>
      </w:tr>
      <w:tr w:rsidR="00A17147" w14:paraId="522655D5"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09" w:type="dxa"/>
          </w:tcPr>
          <w:p w14:paraId="02196687"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2</w:t>
            </w:r>
          </w:p>
        </w:tc>
        <w:tc>
          <w:tcPr>
            <w:tcW w:w="4932" w:type="dxa"/>
            <w:vAlign w:val="center"/>
          </w:tcPr>
          <w:p w14:paraId="237EFACC"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recursos humanos y de infraestructura necesarios para implementar estrategias de gobierno electrónico?</w:t>
            </w:r>
          </w:p>
        </w:tc>
        <w:tc>
          <w:tcPr>
            <w:tcW w:w="1364" w:type="dxa"/>
            <w:vAlign w:val="center"/>
          </w:tcPr>
          <w:p w14:paraId="59682EF7"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62 (53%)</w:t>
            </w:r>
          </w:p>
        </w:tc>
        <w:tc>
          <w:tcPr>
            <w:tcW w:w="1807" w:type="dxa"/>
            <w:vAlign w:val="center"/>
          </w:tcPr>
          <w:p w14:paraId="0CDE95D2"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55 (47%)</w:t>
            </w:r>
          </w:p>
        </w:tc>
      </w:tr>
      <w:tr w:rsidR="00A17147" w14:paraId="34BE9623"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09" w:type="dxa"/>
          </w:tcPr>
          <w:p w14:paraId="23B79D3B"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3</w:t>
            </w:r>
          </w:p>
        </w:tc>
        <w:tc>
          <w:tcPr>
            <w:tcW w:w="4932" w:type="dxa"/>
            <w:vAlign w:val="center"/>
          </w:tcPr>
          <w:p w14:paraId="56179389"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difunde a la ciudadanía información sobre el uso de TIC's para la gestión de trámites y/o servicios?</w:t>
            </w:r>
          </w:p>
        </w:tc>
        <w:tc>
          <w:tcPr>
            <w:tcW w:w="1364" w:type="dxa"/>
            <w:vAlign w:val="center"/>
          </w:tcPr>
          <w:p w14:paraId="6183C3F6"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59 (50.4%)</w:t>
            </w:r>
          </w:p>
        </w:tc>
        <w:tc>
          <w:tcPr>
            <w:tcW w:w="1807" w:type="dxa"/>
            <w:vAlign w:val="center"/>
          </w:tcPr>
          <w:p w14:paraId="1701A25D"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58 (49.6%)</w:t>
            </w:r>
          </w:p>
        </w:tc>
      </w:tr>
      <w:tr w:rsidR="00A17147" w14:paraId="20DBE4F9" w14:textId="77777777" w:rsidTr="00A171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9" w:type="dxa"/>
          </w:tcPr>
          <w:p w14:paraId="0E929A14"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lastRenderedPageBreak/>
              <w:t>4</w:t>
            </w:r>
          </w:p>
        </w:tc>
        <w:tc>
          <w:tcPr>
            <w:tcW w:w="4932" w:type="dxa"/>
            <w:vAlign w:val="center"/>
          </w:tcPr>
          <w:p w14:paraId="292DB12E"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cuenta con algún canal de comunicación directa con el ciudadano (teléfono de asistencia, chat interactivo, Whatsapp, etc.)?</w:t>
            </w:r>
          </w:p>
        </w:tc>
        <w:tc>
          <w:tcPr>
            <w:tcW w:w="1364" w:type="dxa"/>
            <w:vAlign w:val="center"/>
          </w:tcPr>
          <w:p w14:paraId="58F3093A"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90 (76.9%)</w:t>
            </w:r>
          </w:p>
        </w:tc>
        <w:tc>
          <w:tcPr>
            <w:tcW w:w="1807" w:type="dxa"/>
            <w:vAlign w:val="center"/>
          </w:tcPr>
          <w:p w14:paraId="7EB5D5E6"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27 (23.1%)</w:t>
            </w:r>
          </w:p>
        </w:tc>
      </w:tr>
      <w:tr w:rsidR="00A17147" w14:paraId="784C6117" w14:textId="77777777" w:rsidTr="00A17147">
        <w:trPr>
          <w:trHeight w:val="243"/>
        </w:trPr>
        <w:tc>
          <w:tcPr>
            <w:cnfStyle w:val="001000000000" w:firstRow="0" w:lastRow="0" w:firstColumn="1" w:lastColumn="0" w:oddVBand="0" w:evenVBand="0" w:oddHBand="0" w:evenHBand="0" w:firstRowFirstColumn="0" w:firstRowLastColumn="0" w:lastRowFirstColumn="0" w:lastRowLastColumn="0"/>
            <w:tcW w:w="709" w:type="dxa"/>
          </w:tcPr>
          <w:p w14:paraId="2EEBE738"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5</w:t>
            </w:r>
          </w:p>
        </w:tc>
        <w:tc>
          <w:tcPr>
            <w:tcW w:w="4932" w:type="dxa"/>
            <w:vAlign w:val="center"/>
          </w:tcPr>
          <w:p w14:paraId="2B12231D" w14:textId="77777777" w:rsidR="00A17147" w:rsidRDefault="00853C9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tiene cuenta en redes sociales (Facebook, Twitter, etc.) que permita la publicación de comentarios por parte de la ciudadanía?</w:t>
            </w:r>
          </w:p>
        </w:tc>
        <w:tc>
          <w:tcPr>
            <w:tcW w:w="1364" w:type="dxa"/>
            <w:vAlign w:val="center"/>
          </w:tcPr>
          <w:p w14:paraId="71D9EC38"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116 (99.1%)</w:t>
            </w:r>
          </w:p>
        </w:tc>
        <w:tc>
          <w:tcPr>
            <w:tcW w:w="1807" w:type="dxa"/>
            <w:vAlign w:val="center"/>
          </w:tcPr>
          <w:p w14:paraId="504814A2" w14:textId="77777777" w:rsidR="00A17147" w:rsidRDefault="00853C9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1 (.9%)</w:t>
            </w:r>
          </w:p>
        </w:tc>
      </w:tr>
      <w:tr w:rsidR="00A17147" w14:paraId="2AC13DC4" w14:textId="77777777" w:rsidTr="00A1714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709" w:type="dxa"/>
          </w:tcPr>
          <w:p w14:paraId="2535B22F" w14:textId="77777777" w:rsidR="00A17147" w:rsidRDefault="00853C93">
            <w:pPr>
              <w:pBdr>
                <w:top w:val="nil"/>
                <w:left w:val="nil"/>
                <w:bottom w:val="nil"/>
                <w:right w:val="nil"/>
                <w:between w:val="nil"/>
              </w:pBdr>
              <w:jc w:val="center"/>
              <w:rPr>
                <w:rFonts w:ascii="Palatino Linotype" w:eastAsia="Palatino Linotype" w:hAnsi="Palatino Linotype" w:cs="Palatino Linotype"/>
                <w:color w:val="000000"/>
              </w:rPr>
            </w:pPr>
            <w:r>
              <w:rPr>
                <w:rFonts w:ascii="Palatino Linotype" w:eastAsia="Palatino Linotype" w:hAnsi="Palatino Linotype" w:cs="Palatino Linotype"/>
                <w:i w:val="0"/>
                <w:color w:val="000000"/>
              </w:rPr>
              <w:t>6</w:t>
            </w:r>
          </w:p>
        </w:tc>
        <w:tc>
          <w:tcPr>
            <w:tcW w:w="4932" w:type="dxa"/>
            <w:vAlign w:val="center"/>
          </w:tcPr>
          <w:p w14:paraId="18016E3F" w14:textId="77777777" w:rsidR="00A17147" w:rsidRDefault="00853C9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¿El municipio realiza algún esfuerzo de inclusión para compartir información con personas en situación de vulnerabilidad?</w:t>
            </w:r>
          </w:p>
        </w:tc>
        <w:tc>
          <w:tcPr>
            <w:tcW w:w="1364" w:type="dxa"/>
            <w:vAlign w:val="center"/>
          </w:tcPr>
          <w:p w14:paraId="09EF3112"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70 (59.8%)</w:t>
            </w:r>
          </w:p>
        </w:tc>
        <w:tc>
          <w:tcPr>
            <w:tcW w:w="1807" w:type="dxa"/>
            <w:vAlign w:val="center"/>
          </w:tcPr>
          <w:p w14:paraId="383A2C46" w14:textId="77777777" w:rsidR="00A17147" w:rsidRDefault="00853C9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Pr>
                <w:rFonts w:ascii="Palatino Linotype" w:eastAsia="Palatino Linotype" w:hAnsi="Palatino Linotype" w:cs="Palatino Linotype"/>
                <w:color w:val="000000"/>
              </w:rPr>
              <w:t>47 (40.2%)</w:t>
            </w:r>
          </w:p>
        </w:tc>
      </w:tr>
    </w:tbl>
    <w:p w14:paraId="526B54DB"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p>
    <w:p w14:paraId="7AA3286D"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p w14:paraId="6052D9C1"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ANÁLISIS DE RESULTADOS</w:t>
      </w:r>
    </w:p>
    <w:p w14:paraId="65789A33"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p>
    <w:p w14:paraId="5EC0959B"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realizar un </w:t>
      </w:r>
      <w:r>
        <w:rPr>
          <w:rFonts w:ascii="Palatino Linotype" w:eastAsia="Palatino Linotype" w:hAnsi="Palatino Linotype" w:cs="Palatino Linotype"/>
        </w:rPr>
        <w:t>diagnóstico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detallado </w:t>
      </w:r>
      <w:r>
        <w:rPr>
          <w:rFonts w:ascii="Palatino Linotype" w:eastAsia="Palatino Linotype" w:hAnsi="Palatino Linotype" w:cs="Palatino Linotype"/>
          <w:color w:val="000000"/>
        </w:rPr>
        <w:t xml:space="preserve">de los resultados anteriores, destaca que en la dimensión </w:t>
      </w:r>
      <w:r>
        <w:rPr>
          <w:rFonts w:ascii="Palatino Linotype" w:eastAsia="Palatino Linotype" w:hAnsi="Palatino Linotype" w:cs="Palatino Linotype"/>
          <w:i/>
          <w:color w:val="000000"/>
        </w:rPr>
        <w:t>Normatividad</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9 de cada 10 municipios afirman que su Bando señala algún mecanismo de participación ciudadana</w:t>
      </w:r>
      <w:r>
        <w:rPr>
          <w:rFonts w:ascii="Palatino Linotype" w:eastAsia="Palatino Linotype" w:hAnsi="Palatino Linotype" w:cs="Palatino Linotype"/>
          <w:color w:val="000000"/>
        </w:rPr>
        <w:t xml:space="preserve">; sin embargo, </w:t>
      </w:r>
      <w:r>
        <w:rPr>
          <w:rFonts w:ascii="Palatino Linotype" w:eastAsia="Palatino Linotype" w:hAnsi="Palatino Linotype" w:cs="Palatino Linotype"/>
          <w:b/>
          <w:color w:val="000000"/>
        </w:rPr>
        <w:t>7 de cada 10</w:t>
      </w:r>
      <w:r>
        <w:rPr>
          <w:rFonts w:ascii="Palatino Linotype" w:eastAsia="Palatino Linotype" w:hAnsi="Palatino Linotype" w:cs="Palatino Linotype"/>
          <w:color w:val="000000"/>
        </w:rPr>
        <w:t xml:space="preserve"> no cuentan con reglamentación secundaria para normar dicha intervención. Esto podría indicar que los esfuerzos por alentar la participación quedan en un primer nivel reglamentario, pero, en general, no hay herramientas jurídicas adicionales que la garanticen. </w:t>
      </w:r>
    </w:p>
    <w:p w14:paraId="1D38378C"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p w14:paraId="10B7C057"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Por otro lado, destaca que son </w:t>
      </w:r>
      <w:r>
        <w:rPr>
          <w:rFonts w:ascii="Palatino Linotype" w:eastAsia="Palatino Linotype" w:hAnsi="Palatino Linotype" w:cs="Palatino Linotype"/>
          <w:b/>
          <w:color w:val="000000"/>
        </w:rPr>
        <w:t>34</w:t>
      </w:r>
      <w:r>
        <w:rPr>
          <w:rFonts w:ascii="Palatino Linotype" w:eastAsia="Palatino Linotype" w:hAnsi="Palatino Linotype" w:cs="Palatino Linotype"/>
          <w:color w:val="000000"/>
        </w:rPr>
        <w:t xml:space="preserve"> municipios que </w:t>
      </w:r>
      <w:r>
        <w:rPr>
          <w:rFonts w:ascii="Palatino Linotype" w:eastAsia="Palatino Linotype" w:hAnsi="Palatino Linotype" w:cs="Palatino Linotype"/>
        </w:rPr>
        <w:t xml:space="preserve">manifiestan </w:t>
      </w:r>
      <w:r>
        <w:rPr>
          <w:rFonts w:ascii="Palatino Linotype" w:eastAsia="Palatino Linotype" w:hAnsi="Palatino Linotype" w:cs="Palatino Linotype"/>
          <w:color w:val="000000"/>
        </w:rPr>
        <w:t xml:space="preserve">que cumplen </w:t>
      </w:r>
      <w:r>
        <w:rPr>
          <w:rFonts w:ascii="Palatino Linotype" w:eastAsia="Palatino Linotype" w:hAnsi="Palatino Linotype" w:cs="Palatino Linotype"/>
        </w:rPr>
        <w:t>al respecto de</w:t>
      </w:r>
      <w:r>
        <w:rPr>
          <w:rFonts w:ascii="Palatino Linotype" w:eastAsia="Palatino Linotype" w:hAnsi="Palatino Linotype" w:cs="Palatino Linotype"/>
          <w:color w:val="000000"/>
        </w:rPr>
        <w:t xml:space="preserve"> la participación tanto en su Bando como en un reglamento</w:t>
      </w:r>
      <w:r>
        <w:rPr>
          <w:rFonts w:ascii="Palatino Linotype" w:eastAsia="Palatino Linotype" w:hAnsi="Palatino Linotype" w:cs="Palatino Linotype"/>
          <w:color w:val="000000"/>
          <w:vertAlign w:val="superscript"/>
        </w:rPr>
        <w:footnoteReference w:id="5"/>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91%</w:t>
      </w:r>
      <w:r>
        <w:rPr>
          <w:rFonts w:ascii="Palatino Linotype" w:eastAsia="Palatino Linotype" w:hAnsi="Palatino Linotype" w:cs="Palatino Linotype"/>
          <w:color w:val="000000"/>
        </w:rPr>
        <w:t xml:space="preserve"> de ellos, además, señalan contar con esquemas que promueven la toma de decisiones colectivas entre ciudadanos y autoridades, lo cual podría significar un</w:t>
      </w:r>
      <w:r>
        <w:rPr>
          <w:rFonts w:ascii="Palatino Linotype" w:eastAsia="Palatino Linotype" w:hAnsi="Palatino Linotype" w:cs="Palatino Linotype"/>
        </w:rPr>
        <w:t xml:space="preserve"> área de oportunidad </w:t>
      </w:r>
      <w:r>
        <w:rPr>
          <w:rFonts w:ascii="Palatino Linotype" w:eastAsia="Palatino Linotype" w:hAnsi="Palatino Linotype" w:cs="Palatino Linotype"/>
          <w:color w:val="000000"/>
        </w:rPr>
        <w:t xml:space="preserve">para ejercicios de co creación de políticas públicas. En ese mismo sentido, al </w:t>
      </w:r>
      <w:r>
        <w:rPr>
          <w:rFonts w:ascii="Palatino Linotype" w:eastAsia="Palatino Linotype" w:hAnsi="Palatino Linotype" w:cs="Palatino Linotype"/>
        </w:rPr>
        <w:t xml:space="preserve">comparar </w:t>
      </w:r>
      <w:r>
        <w:rPr>
          <w:rFonts w:ascii="Palatino Linotype" w:eastAsia="Palatino Linotype" w:hAnsi="Palatino Linotype" w:cs="Palatino Linotype"/>
          <w:color w:val="000000"/>
        </w:rPr>
        <w:t xml:space="preserve">este hallazgo con la pregunta sobre la existencia del término </w:t>
      </w:r>
      <w:r>
        <w:rPr>
          <w:rFonts w:ascii="Palatino Linotype" w:eastAsia="Palatino Linotype" w:hAnsi="Palatino Linotype" w:cs="Palatino Linotype"/>
          <w:i/>
          <w:color w:val="000000"/>
        </w:rPr>
        <w:t>“Gobierno abierto”</w:t>
      </w:r>
      <w:r>
        <w:rPr>
          <w:rFonts w:ascii="Palatino Linotype" w:eastAsia="Palatino Linotype" w:hAnsi="Palatino Linotype" w:cs="Palatino Linotype"/>
          <w:color w:val="000000"/>
        </w:rPr>
        <w:t xml:space="preserve"> en el Bando Municipal, resultó que sólo se menciona en </w:t>
      </w:r>
      <w:r>
        <w:rPr>
          <w:rFonts w:ascii="Palatino Linotype" w:eastAsia="Palatino Linotype" w:hAnsi="Palatino Linotype" w:cs="Palatino Linotype"/>
          <w:b/>
          <w:color w:val="000000"/>
        </w:rPr>
        <w:t>16</w:t>
      </w:r>
      <w:r>
        <w:rPr>
          <w:rFonts w:ascii="Palatino Linotype" w:eastAsia="Palatino Linotype" w:hAnsi="Palatino Linotype" w:cs="Palatino Linotype"/>
          <w:color w:val="000000"/>
        </w:rPr>
        <w:t xml:space="preserve"> de ellos</w:t>
      </w:r>
      <w:r>
        <w:rPr>
          <w:rFonts w:ascii="Palatino Linotype" w:eastAsia="Palatino Linotype" w:hAnsi="Palatino Linotype" w:cs="Palatino Linotype"/>
          <w:color w:val="000000"/>
          <w:vertAlign w:val="superscript"/>
        </w:rPr>
        <w:footnoteReference w:id="6"/>
      </w:r>
      <w:r>
        <w:rPr>
          <w:rFonts w:ascii="Palatino Linotype" w:eastAsia="Palatino Linotype" w:hAnsi="Palatino Linotype" w:cs="Palatino Linotype"/>
          <w:color w:val="000000"/>
        </w:rPr>
        <w:t xml:space="preserve">, lo que significa que </w:t>
      </w:r>
      <w:r>
        <w:rPr>
          <w:rFonts w:ascii="Palatino Linotype" w:eastAsia="Palatino Linotype" w:hAnsi="Palatino Linotype" w:cs="Palatino Linotype"/>
        </w:rPr>
        <w:t xml:space="preserve">únicamente </w:t>
      </w:r>
      <w:r>
        <w:rPr>
          <w:rFonts w:ascii="Palatino Linotype" w:eastAsia="Palatino Linotype" w:hAnsi="Palatino Linotype" w:cs="Palatino Linotype"/>
          <w:color w:val="000000"/>
        </w:rPr>
        <w:t>en un</w:t>
      </w:r>
      <w:r>
        <w:rPr>
          <w:rFonts w:ascii="Palatino Linotype" w:eastAsia="Palatino Linotype" w:hAnsi="Palatino Linotype" w:cs="Palatino Linotype"/>
          <w:b/>
          <w:color w:val="000000"/>
        </w:rPr>
        <w:t xml:space="preserve"> 14% de los municipios mexiquenses se enuncia en el marco jurídico propio lo relativo a la apertura gubernamental. </w:t>
      </w:r>
    </w:p>
    <w:p w14:paraId="745A9235"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51A7FBD5"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Al respecto de la reglamentación sobre los espacios en donde puedan intervenir más actores en la toma de decisiones, hay coherencia con los datos anteriores pues sólo </w:t>
      </w:r>
      <w:r>
        <w:rPr>
          <w:rFonts w:ascii="Palatino Linotype" w:eastAsia="Palatino Linotype" w:hAnsi="Palatino Linotype" w:cs="Palatino Linotype"/>
          <w:b/>
        </w:rPr>
        <w:t>27</w:t>
      </w:r>
      <w:r>
        <w:rPr>
          <w:rFonts w:ascii="Palatino Linotype" w:eastAsia="Palatino Linotype" w:hAnsi="Palatino Linotype" w:cs="Palatino Linotype"/>
        </w:rPr>
        <w:t xml:space="preserve"> de ellos respondieron afirmativamente que cuentan con ella; sin embargo, en </w:t>
      </w:r>
      <w:r>
        <w:rPr>
          <w:rFonts w:ascii="Palatino Linotype" w:eastAsia="Palatino Linotype" w:hAnsi="Palatino Linotype" w:cs="Palatino Linotype"/>
          <w:b/>
        </w:rPr>
        <w:t>12 municipios cuyo Bando habla sobre el término de apertura gubernamental</w:t>
      </w:r>
      <w:r>
        <w:rPr>
          <w:rFonts w:ascii="Palatino Linotype" w:eastAsia="Palatino Linotype" w:hAnsi="Palatino Linotype" w:cs="Palatino Linotype"/>
          <w:b/>
          <w:vertAlign w:val="superscript"/>
        </w:rPr>
        <w:footnoteReference w:id="7"/>
      </w:r>
      <w:r>
        <w:rPr>
          <w:rFonts w:ascii="Palatino Linotype" w:eastAsia="Palatino Linotype" w:hAnsi="Palatino Linotype" w:cs="Palatino Linotype"/>
        </w:rPr>
        <w:t xml:space="preserve">. Esto podría decir que, aún y cuando en la norma general se establece dicha estrategia de involucramiento, son pocos los que efectivamente cuentan con una arena de diálogo entre diversos agentes sociales y el gobierno municipal. </w:t>
      </w:r>
    </w:p>
    <w:p w14:paraId="3474E888"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04096E32"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Del total de resultados, </w:t>
      </w:r>
      <w:r>
        <w:rPr>
          <w:rFonts w:ascii="Palatino Linotype" w:eastAsia="Palatino Linotype" w:hAnsi="Palatino Linotype" w:cs="Palatino Linotype"/>
          <w:b/>
        </w:rPr>
        <w:t xml:space="preserve">8 municipios parecen contar con una normatividad y foros concretos de participación que promueven la toma de decisiones colectivas: Amatepec, Jocotitlán, Tepotzotlán, Texcaltitlán, Texcalyacac, Tianguistenco, Tultitlán y Xalatlaco, lo que representa apenas el 6.4% del total de municipios de la entidad. </w:t>
      </w:r>
    </w:p>
    <w:p w14:paraId="78D51DE5"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b/>
        </w:rPr>
      </w:pPr>
    </w:p>
    <w:p w14:paraId="22E8E110"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de la dimensión de </w:t>
      </w:r>
      <w:r>
        <w:rPr>
          <w:rFonts w:ascii="Palatino Linotype" w:eastAsia="Palatino Linotype" w:hAnsi="Palatino Linotype" w:cs="Palatino Linotype"/>
          <w:i/>
        </w:rPr>
        <w:t>“Participación ciudadana”</w:t>
      </w:r>
      <w:r>
        <w:rPr>
          <w:rFonts w:ascii="Palatino Linotype" w:eastAsia="Palatino Linotype" w:hAnsi="Palatino Linotype" w:cs="Palatino Linotype"/>
        </w:rPr>
        <w:t xml:space="preserve">, se destaca que </w:t>
      </w:r>
      <w:r>
        <w:rPr>
          <w:rFonts w:ascii="Palatino Linotype" w:eastAsia="Palatino Linotype" w:hAnsi="Palatino Linotype" w:cs="Palatino Linotype"/>
          <w:b/>
        </w:rPr>
        <w:t>9 de cada 10</w:t>
      </w:r>
      <w:r>
        <w:rPr>
          <w:rFonts w:ascii="Palatino Linotype" w:eastAsia="Palatino Linotype" w:hAnsi="Palatino Linotype" w:cs="Palatino Linotype"/>
        </w:rPr>
        <w:t xml:space="preserve"> municipios tienen una unidad responsable de atención a peticiones ciudadanas, pero de esos sólo la mitad tienen algún mecanismo de evaluación ciudadana sobre la atención recibida. Por otro lado, </w:t>
      </w:r>
      <w:r>
        <w:rPr>
          <w:rFonts w:ascii="Palatino Linotype" w:eastAsia="Palatino Linotype" w:hAnsi="Palatino Linotype" w:cs="Palatino Linotype"/>
          <w:b/>
        </w:rPr>
        <w:t>43 de esos 52 municipios</w:t>
      </w:r>
      <w:r>
        <w:rPr>
          <w:rFonts w:ascii="Palatino Linotype" w:eastAsia="Palatino Linotype" w:hAnsi="Palatino Linotype" w:cs="Palatino Linotype"/>
        </w:rPr>
        <w:t xml:space="preserve"> dicen contar con registros de las solicitudes recibidas, y </w:t>
      </w:r>
      <w:r>
        <w:rPr>
          <w:rFonts w:ascii="Palatino Linotype" w:eastAsia="Palatino Linotype" w:hAnsi="Palatino Linotype" w:cs="Palatino Linotype"/>
          <w:b/>
        </w:rPr>
        <w:t>40 de ellos (es decir, el 94%)</w:t>
      </w:r>
      <w:r>
        <w:rPr>
          <w:rFonts w:ascii="Palatino Linotype" w:eastAsia="Palatino Linotype" w:hAnsi="Palatino Linotype" w:cs="Palatino Linotype"/>
        </w:rPr>
        <w:t xml:space="preserve"> afirman tener forma de dar seguimiento a dichas solicitudes. </w:t>
      </w:r>
    </w:p>
    <w:p w14:paraId="5B0EFADA"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68BA6771"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La atención ciudadana se considera como uno de los puntos fuertes de al menos la mitad de los municipios, lo cual podría generar esquemas que impulsen esta ruta de la participación ciudadana directa. Respecto del proceso de consulta para que la ciudadanía señale a las autoridades sus necesidades más apremiantes, el</w:t>
      </w:r>
      <w:r>
        <w:rPr>
          <w:rFonts w:ascii="Palatino Linotype" w:eastAsia="Palatino Linotype" w:hAnsi="Palatino Linotype" w:cs="Palatino Linotype"/>
          <w:b/>
        </w:rPr>
        <w:t xml:space="preserve"> 67.5% (79 municipios)</w:t>
      </w:r>
      <w:r>
        <w:rPr>
          <w:rFonts w:ascii="Palatino Linotype" w:eastAsia="Palatino Linotype" w:hAnsi="Palatino Linotype" w:cs="Palatino Linotype"/>
        </w:rPr>
        <w:t xml:space="preserve"> contestó que sí cuenta con espacios permanentes o temporales para dar atención a esas demandas. De esos 79,</w:t>
      </w:r>
      <w:r>
        <w:rPr>
          <w:rFonts w:ascii="Palatino Linotype" w:eastAsia="Palatino Linotype" w:hAnsi="Palatino Linotype" w:cs="Palatino Linotype"/>
          <w:b/>
        </w:rPr>
        <w:t xml:space="preserve"> el 84% (66 municipios) dicen contar con estrategias para atención conjunta de alternativas de solución</w:t>
      </w:r>
      <w:r>
        <w:rPr>
          <w:rFonts w:ascii="Palatino Linotype" w:eastAsia="Palatino Linotype" w:hAnsi="Palatino Linotype" w:cs="Palatino Linotype"/>
        </w:rPr>
        <w:t xml:space="preserve">. Y de ellos, </w:t>
      </w:r>
      <w:r>
        <w:rPr>
          <w:rFonts w:ascii="Palatino Linotype" w:eastAsia="Palatino Linotype" w:hAnsi="Palatino Linotype" w:cs="Palatino Linotype"/>
          <w:b/>
        </w:rPr>
        <w:t>47 (es decir, el 71%)</w:t>
      </w:r>
      <w:r>
        <w:rPr>
          <w:rFonts w:ascii="Palatino Linotype" w:eastAsia="Palatino Linotype" w:hAnsi="Palatino Linotype" w:cs="Palatino Linotype"/>
        </w:rPr>
        <w:t xml:space="preserve"> afirma que además hay mecanismos conjuntos de evaluación de las soluciones. </w:t>
      </w:r>
    </w:p>
    <w:p w14:paraId="521F499E"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15581E00"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Al relacionar estos hallazgos con los municipios que afirmaron contar con el término </w:t>
      </w:r>
      <w:r>
        <w:rPr>
          <w:rFonts w:ascii="Palatino Linotype" w:eastAsia="Palatino Linotype" w:hAnsi="Palatino Linotype" w:cs="Palatino Linotype"/>
          <w:i/>
        </w:rPr>
        <w:t>Gobierno Abierto</w:t>
      </w:r>
      <w:r>
        <w:rPr>
          <w:rFonts w:ascii="Palatino Linotype" w:eastAsia="Palatino Linotype" w:hAnsi="Palatino Linotype" w:cs="Palatino Linotype"/>
        </w:rPr>
        <w:t xml:space="preserve"> en su bando y que además desde su normatividad promueve la toma de decisiones colectivas, resultó que </w:t>
      </w:r>
      <w:r>
        <w:rPr>
          <w:rFonts w:ascii="Palatino Linotype" w:eastAsia="Palatino Linotype" w:hAnsi="Palatino Linotype" w:cs="Palatino Linotype"/>
          <w:b/>
        </w:rPr>
        <w:t xml:space="preserve">19 </w:t>
      </w:r>
      <w:r>
        <w:rPr>
          <w:rFonts w:ascii="Palatino Linotype" w:eastAsia="Palatino Linotype" w:hAnsi="Palatino Linotype" w:cs="Palatino Linotype"/>
        </w:rPr>
        <w:t>de ellos caen en este supuesto</w:t>
      </w:r>
      <w:r>
        <w:rPr>
          <w:rFonts w:ascii="Palatino Linotype" w:eastAsia="Palatino Linotype" w:hAnsi="Palatino Linotype" w:cs="Palatino Linotype"/>
          <w:vertAlign w:val="superscript"/>
        </w:rPr>
        <w:footnoteReference w:id="8"/>
      </w:r>
      <w:r>
        <w:rPr>
          <w:rFonts w:ascii="Palatino Linotype" w:eastAsia="Palatino Linotype" w:hAnsi="Palatino Linotype" w:cs="Palatino Linotype"/>
        </w:rPr>
        <w:t xml:space="preserve">. De esos, </w:t>
      </w:r>
      <w:r>
        <w:rPr>
          <w:rFonts w:ascii="Palatino Linotype" w:eastAsia="Palatino Linotype" w:hAnsi="Palatino Linotype" w:cs="Palatino Linotype"/>
          <w:b/>
        </w:rPr>
        <w:t>11</w:t>
      </w:r>
      <w:r>
        <w:rPr>
          <w:rFonts w:ascii="Palatino Linotype" w:eastAsia="Palatino Linotype" w:hAnsi="Palatino Linotype" w:cs="Palatino Linotype"/>
        </w:rPr>
        <w:t xml:space="preserve"> además tienen un reglamento específico para los cuerpos multiactor que toman decisiones, siendo estos: </w:t>
      </w:r>
      <w:r>
        <w:rPr>
          <w:rFonts w:ascii="Palatino Linotype" w:eastAsia="Palatino Linotype" w:hAnsi="Palatino Linotype" w:cs="Palatino Linotype"/>
          <w:b/>
        </w:rPr>
        <w:t>Amatepec, Chimalhuacán, Jiquipilco, Jocotitlán, Tepetlixpa, Tepotzotlán, Texcaltitlán, Texcalyacac, Tianguistenco, Tultitlán y Xalatlaco.</w:t>
      </w:r>
    </w:p>
    <w:p w14:paraId="7083932E"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b/>
        </w:rPr>
      </w:pPr>
    </w:p>
    <w:p w14:paraId="02B239DC"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se preguntó si el municipio cuenta con alguna unidad administrativa responsable de promover en la ciudadanía su participación para la toma de decisiones y, en consistencia con un dato anterior, </w:t>
      </w:r>
      <w:r>
        <w:rPr>
          <w:rFonts w:ascii="Palatino Linotype" w:eastAsia="Palatino Linotype" w:hAnsi="Palatino Linotype" w:cs="Palatino Linotype"/>
          <w:b/>
        </w:rPr>
        <w:t xml:space="preserve">78 </w:t>
      </w:r>
      <w:r>
        <w:rPr>
          <w:rFonts w:ascii="Palatino Linotype" w:eastAsia="Palatino Linotype" w:hAnsi="Palatino Linotype" w:cs="Palatino Linotype"/>
        </w:rPr>
        <w:t xml:space="preserve">de ellos dijeron que efectivamente contaban con tal unidad, lo cual podría indicar un esfuerzo integral entre las estrategias de atención y la difusión de la participación ciudadana. De igual modo, </w:t>
      </w:r>
      <w:r>
        <w:rPr>
          <w:rFonts w:ascii="Palatino Linotype" w:eastAsia="Palatino Linotype" w:hAnsi="Palatino Linotype" w:cs="Palatino Linotype"/>
          <w:b/>
        </w:rPr>
        <w:t>6 de cada 10 municipios tienen registros de las asociaciones</w:t>
      </w:r>
      <w:r>
        <w:rPr>
          <w:rFonts w:ascii="Palatino Linotype" w:eastAsia="Palatino Linotype" w:hAnsi="Palatino Linotype" w:cs="Palatino Linotype"/>
        </w:rPr>
        <w:t xml:space="preserve"> que están presentes o que realizan trabajo en su demarcación territorial lo cual es un buen indicio ya que significaría que hay interés por mantener la comunicación con el sector de la sociedad organizada. </w:t>
      </w:r>
    </w:p>
    <w:p w14:paraId="0A626100"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7B2FF9B1"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cuanto al tema de </w:t>
      </w:r>
      <w:r>
        <w:rPr>
          <w:rFonts w:ascii="Palatino Linotype" w:eastAsia="Palatino Linotype" w:hAnsi="Palatino Linotype" w:cs="Palatino Linotype"/>
          <w:i/>
        </w:rPr>
        <w:t>Cabildo abierto</w:t>
      </w:r>
      <w:r>
        <w:rPr>
          <w:rFonts w:ascii="Palatino Linotype" w:eastAsia="Palatino Linotype" w:hAnsi="Palatino Linotype" w:cs="Palatino Linotype"/>
        </w:rPr>
        <w:t>, destaca que en casi</w:t>
      </w:r>
      <w:r>
        <w:rPr>
          <w:rFonts w:ascii="Palatino Linotype" w:eastAsia="Palatino Linotype" w:hAnsi="Palatino Linotype" w:cs="Palatino Linotype"/>
          <w:b/>
        </w:rPr>
        <w:t xml:space="preserve"> 8 de cada 10 municipios</w:t>
      </w:r>
      <w:r>
        <w:rPr>
          <w:rFonts w:ascii="Palatino Linotype" w:eastAsia="Palatino Linotype" w:hAnsi="Palatino Linotype" w:cs="Palatino Linotype"/>
        </w:rPr>
        <w:t xml:space="preserve"> se permite la intervención ciudadana durante la discusión de la agenda. A reserva de corroborar esta información, supondría que además de ser públicos, existen mecanismos a través de los cuales hay una participación directa del ciudadano en estas sesiones, lo que sentaría una base importante para impulsar otro tipo de involucramientos institucionalizados. Ello se refuerza con el dato de que sólo en </w:t>
      </w:r>
      <w:r>
        <w:rPr>
          <w:rFonts w:ascii="Palatino Linotype" w:eastAsia="Palatino Linotype" w:hAnsi="Palatino Linotype" w:cs="Palatino Linotype"/>
          <w:b/>
        </w:rPr>
        <w:t xml:space="preserve">13 municipios </w:t>
      </w:r>
      <w:r>
        <w:rPr>
          <w:rFonts w:ascii="Palatino Linotype" w:eastAsia="Palatino Linotype" w:hAnsi="Palatino Linotype" w:cs="Palatino Linotype"/>
        </w:rPr>
        <w:t xml:space="preserve">no se dan a conocer las resoluciones tomadas por el cabildo, lo que implicaría que casi </w:t>
      </w:r>
      <w:r>
        <w:rPr>
          <w:rFonts w:ascii="Palatino Linotype" w:eastAsia="Palatino Linotype" w:hAnsi="Palatino Linotype" w:cs="Palatino Linotype"/>
          <w:b/>
        </w:rPr>
        <w:t xml:space="preserve">9 de cada 10 sí cuentan con formas de hacer que la ciudadanía se entere de qué resolvieron los ediles y regidores. </w:t>
      </w:r>
    </w:p>
    <w:p w14:paraId="7A8AF113"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3F4F6BA6" w14:textId="3C22A408"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refiere a la dimensión dedicada a la </w:t>
      </w:r>
      <w:r>
        <w:rPr>
          <w:rFonts w:ascii="Palatino Linotype" w:eastAsia="Palatino Linotype" w:hAnsi="Palatino Linotype" w:cs="Palatino Linotype"/>
          <w:i/>
        </w:rPr>
        <w:t>Transparencia</w:t>
      </w:r>
      <w:r>
        <w:rPr>
          <w:rFonts w:ascii="Palatino Linotype" w:eastAsia="Palatino Linotype" w:hAnsi="Palatino Linotype" w:cs="Palatino Linotype"/>
        </w:rPr>
        <w:t xml:space="preserve">, los hallazgos sugieren que existe interés por parte de los municipios de contar con los recursos necesarios para garantizar el derecho de acceso a la información. Ejemplo de ello es que </w:t>
      </w:r>
      <w:r>
        <w:rPr>
          <w:rFonts w:ascii="Palatino Linotype" w:eastAsia="Palatino Linotype" w:hAnsi="Palatino Linotype" w:cs="Palatino Linotype"/>
          <w:b/>
        </w:rPr>
        <w:t xml:space="preserve">9 de cada 10 </w:t>
      </w:r>
      <w:r>
        <w:rPr>
          <w:rFonts w:ascii="Palatino Linotype" w:eastAsia="Palatino Linotype" w:hAnsi="Palatino Linotype" w:cs="Palatino Linotype"/>
        </w:rPr>
        <w:t xml:space="preserve">afirma tener una página web actualizada constantemente. El contraste es que en apenas el </w:t>
      </w:r>
      <w:r>
        <w:rPr>
          <w:rFonts w:ascii="Palatino Linotype" w:eastAsia="Palatino Linotype" w:hAnsi="Palatino Linotype" w:cs="Palatino Linotype"/>
          <w:b/>
        </w:rPr>
        <w:t>47%</w:t>
      </w:r>
      <w:r>
        <w:rPr>
          <w:rFonts w:ascii="Palatino Linotype" w:eastAsia="Palatino Linotype" w:hAnsi="Palatino Linotype" w:cs="Palatino Linotype"/>
        </w:rPr>
        <w:t xml:space="preserve"> de ellos dice contar con Titulares de Unidad de Transparencia certificados. De ese porcentaje, sólo </w:t>
      </w:r>
      <w:r>
        <w:rPr>
          <w:rFonts w:ascii="Palatino Linotype" w:eastAsia="Palatino Linotype" w:hAnsi="Palatino Linotype" w:cs="Palatino Linotype"/>
          <w:b/>
        </w:rPr>
        <w:t xml:space="preserve">27 municipios </w:t>
      </w:r>
      <w:r>
        <w:rPr>
          <w:rFonts w:ascii="Palatino Linotype" w:eastAsia="Palatino Linotype" w:hAnsi="Palatino Linotype" w:cs="Palatino Linotype"/>
        </w:rPr>
        <w:t xml:space="preserve">afirman que también sus Servidores Públicos Habilitados tienen la certificación debida; esto quiere decir que apenas el </w:t>
      </w:r>
      <w:r>
        <w:rPr>
          <w:rFonts w:ascii="Palatino Linotype" w:eastAsia="Palatino Linotype" w:hAnsi="Palatino Linotype" w:cs="Palatino Linotype"/>
          <w:b/>
        </w:rPr>
        <w:t>23% de municipios cuentan con servidores públicos capacitados para llevar a cabo sus funciones</w:t>
      </w:r>
      <w:r>
        <w:rPr>
          <w:rFonts w:ascii="Palatino Linotype" w:eastAsia="Palatino Linotype" w:hAnsi="Palatino Linotype" w:cs="Palatino Linotype"/>
          <w:vertAlign w:val="superscript"/>
        </w:rPr>
        <w:footnoteReference w:id="9"/>
      </w:r>
      <w:r>
        <w:rPr>
          <w:rFonts w:ascii="Palatino Linotype" w:eastAsia="Palatino Linotype" w:hAnsi="Palatino Linotype" w:cs="Palatino Linotype"/>
        </w:rPr>
        <w:t xml:space="preserve">. </w:t>
      </w:r>
    </w:p>
    <w:p w14:paraId="17FBA34C" w14:textId="77777777" w:rsidR="00853C93"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64E1A1FC"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otro lado, de los </w:t>
      </w:r>
      <w:r>
        <w:rPr>
          <w:rFonts w:ascii="Palatino Linotype" w:eastAsia="Palatino Linotype" w:hAnsi="Palatino Linotype" w:cs="Palatino Linotype"/>
          <w:b/>
        </w:rPr>
        <w:t xml:space="preserve">27 municipios </w:t>
      </w:r>
      <w:r>
        <w:rPr>
          <w:rFonts w:ascii="Palatino Linotype" w:eastAsia="Palatino Linotype" w:hAnsi="Palatino Linotype" w:cs="Palatino Linotype"/>
        </w:rPr>
        <w:t xml:space="preserve">referidos, </w:t>
      </w:r>
      <w:r>
        <w:rPr>
          <w:rFonts w:ascii="Palatino Linotype" w:eastAsia="Palatino Linotype" w:hAnsi="Palatino Linotype" w:cs="Palatino Linotype"/>
          <w:b/>
        </w:rPr>
        <w:t xml:space="preserve">18 </w:t>
      </w:r>
      <w:r>
        <w:rPr>
          <w:rFonts w:ascii="Palatino Linotype" w:eastAsia="Palatino Linotype" w:hAnsi="Palatino Linotype" w:cs="Palatino Linotype"/>
        </w:rPr>
        <w:t xml:space="preserve">dicen que sí cuentan con los recursos humanos, materiales y financieros para llevar a cabo adecuadamente sus funciones. Esto implica que del total de municipios participantes en este ejercicio, sólo el </w:t>
      </w:r>
      <w:r>
        <w:rPr>
          <w:rFonts w:ascii="Palatino Linotype" w:eastAsia="Palatino Linotype" w:hAnsi="Palatino Linotype" w:cs="Palatino Linotype"/>
          <w:b/>
        </w:rPr>
        <w:t xml:space="preserve">15% tienen capacidades institucionales para cumplir con las obligaciones de transparencia. Dichos municipios son: Amanalco, Atizapán, Chiautla, Chimalhuacán, Chiconcuac, Coacalco de </w:t>
      </w:r>
      <w:r>
        <w:rPr>
          <w:rFonts w:ascii="Palatino Linotype" w:eastAsia="Palatino Linotype" w:hAnsi="Palatino Linotype" w:cs="Palatino Linotype"/>
          <w:b/>
        </w:rPr>
        <w:lastRenderedPageBreak/>
        <w:t>Berriozábal, Huixquilucan, Ixtlahuaca, Jilotepec, Jilotzingo, Jocotitlán, La Paz, Nicolás Romero, San Mateo Atenco, Tenango del Valle, Tlatlaya, Tultepec y Tultitlán</w:t>
      </w:r>
      <w:r>
        <w:rPr>
          <w:rFonts w:ascii="Palatino Linotype" w:eastAsia="Palatino Linotype" w:hAnsi="Palatino Linotype" w:cs="Palatino Linotype"/>
          <w:b/>
          <w:vertAlign w:val="superscript"/>
        </w:rPr>
        <w:footnoteReference w:id="10"/>
      </w:r>
      <w:r>
        <w:rPr>
          <w:rFonts w:ascii="Palatino Linotype" w:eastAsia="Palatino Linotype" w:hAnsi="Palatino Linotype" w:cs="Palatino Linotype"/>
          <w:b/>
        </w:rPr>
        <w:t>.</w:t>
      </w:r>
    </w:p>
    <w:p w14:paraId="3F1022DA"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6915EB05"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ámbito de la difusión del acceso a la información, el </w:t>
      </w:r>
      <w:r>
        <w:rPr>
          <w:rFonts w:ascii="Palatino Linotype" w:eastAsia="Palatino Linotype" w:hAnsi="Palatino Linotype" w:cs="Palatino Linotype"/>
          <w:b/>
        </w:rPr>
        <w:t>47% de los municipios</w:t>
      </w:r>
      <w:r>
        <w:rPr>
          <w:rFonts w:ascii="Palatino Linotype" w:eastAsia="Palatino Linotype" w:hAnsi="Palatino Linotype" w:cs="Palatino Linotype"/>
        </w:rPr>
        <w:t xml:space="preserve"> afirman que sí llevan a cabo acciones para comunicar a la población temas relacionados con Transparencia. Para conocer el impacto de las acciones de los </w:t>
      </w:r>
      <w:r>
        <w:rPr>
          <w:rFonts w:ascii="Palatino Linotype" w:eastAsia="Palatino Linotype" w:hAnsi="Palatino Linotype" w:cs="Palatino Linotype"/>
          <w:b/>
        </w:rPr>
        <w:t>69 municipios</w:t>
      </w:r>
      <w:r>
        <w:rPr>
          <w:rFonts w:ascii="Palatino Linotype" w:eastAsia="Palatino Linotype" w:hAnsi="Palatino Linotype" w:cs="Palatino Linotype"/>
        </w:rPr>
        <w:t xml:space="preserve"> que representan tal porcentaje, se acudió a la información proporcionada por el Instituto Nacional de Estadística y Geografía (INEGI) según el censo de 2020, obteniendo que con las acciones reportadas por esos municipios se estaría alcanzando a aproximadamente </w:t>
      </w:r>
      <w:r>
        <w:rPr>
          <w:rFonts w:ascii="Palatino Linotype" w:eastAsia="Palatino Linotype" w:hAnsi="Palatino Linotype" w:cs="Palatino Linotype"/>
          <w:b/>
        </w:rPr>
        <w:t>8 millones 975 mil 829</w:t>
      </w:r>
      <w:r>
        <w:rPr>
          <w:rFonts w:ascii="Palatino Linotype" w:eastAsia="Palatino Linotype" w:hAnsi="Palatino Linotype" w:cs="Palatino Linotype"/>
        </w:rPr>
        <w:t xml:space="preserve"> habitantes del Estado de México</w:t>
      </w:r>
      <w:r>
        <w:rPr>
          <w:rFonts w:ascii="Palatino Linotype" w:eastAsia="Palatino Linotype" w:hAnsi="Palatino Linotype" w:cs="Palatino Linotype"/>
          <w:vertAlign w:val="superscript"/>
        </w:rPr>
        <w:footnoteReference w:id="11"/>
      </w:r>
      <w:r>
        <w:rPr>
          <w:rFonts w:ascii="Palatino Linotype" w:eastAsia="Palatino Linotype" w:hAnsi="Palatino Linotype" w:cs="Palatino Linotype"/>
        </w:rPr>
        <w:t xml:space="preserve">. </w:t>
      </w:r>
    </w:p>
    <w:p w14:paraId="08E61941"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7E637E71"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Otro rubro que se exploró con el cuestionario fue el de la generación y publicación de datos abiertos. En este, se halló que de los </w:t>
      </w:r>
      <w:r>
        <w:rPr>
          <w:rFonts w:ascii="Palatino Linotype" w:eastAsia="Palatino Linotype" w:hAnsi="Palatino Linotype" w:cs="Palatino Linotype"/>
          <w:b/>
        </w:rPr>
        <w:t xml:space="preserve">70 municipios </w:t>
      </w:r>
      <w:r>
        <w:rPr>
          <w:rFonts w:ascii="Palatino Linotype" w:eastAsia="Palatino Linotype" w:hAnsi="Palatino Linotype" w:cs="Palatino Linotype"/>
        </w:rPr>
        <w:t xml:space="preserve">que dijeron que sí realizan ese tipo de sistematización y presentación de información, únicamente </w:t>
      </w:r>
      <w:r>
        <w:rPr>
          <w:rFonts w:ascii="Palatino Linotype" w:eastAsia="Palatino Linotype" w:hAnsi="Palatino Linotype" w:cs="Palatino Linotype"/>
          <w:b/>
        </w:rPr>
        <w:t>25 de ellos (es decir, el 36%), dicen contar con un registro de que en efecto la ciudadanía está utilizando los mismos</w:t>
      </w:r>
      <w:r>
        <w:rPr>
          <w:rFonts w:ascii="Palatino Linotype" w:eastAsia="Palatino Linotype" w:hAnsi="Palatino Linotype" w:cs="Palatino Linotype"/>
        </w:rPr>
        <w:t xml:space="preserve">; además de que </w:t>
      </w:r>
      <w:r>
        <w:rPr>
          <w:rFonts w:ascii="Palatino Linotype" w:eastAsia="Palatino Linotype" w:hAnsi="Palatino Linotype" w:cs="Palatino Linotype"/>
          <w:b/>
        </w:rPr>
        <w:t xml:space="preserve">22 </w:t>
      </w:r>
      <w:r>
        <w:rPr>
          <w:rFonts w:ascii="Palatino Linotype" w:eastAsia="Palatino Linotype" w:hAnsi="Palatino Linotype" w:cs="Palatino Linotype"/>
        </w:rPr>
        <w:t xml:space="preserve">de estos comunican a sus habitantes la existencia de los datos abiertos. </w:t>
      </w:r>
    </w:p>
    <w:p w14:paraId="49F6BF38"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1A129F16" w14:textId="4D3EFA8A" w:rsidR="00A17147" w:rsidRDefault="003263B8">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Con relación a</w:t>
      </w:r>
      <w:r w:rsidR="00853C93">
        <w:rPr>
          <w:rFonts w:ascii="Palatino Linotype" w:eastAsia="Palatino Linotype" w:hAnsi="Palatino Linotype" w:cs="Palatino Linotype"/>
        </w:rPr>
        <w:t xml:space="preserve"> la dimensión de </w:t>
      </w:r>
      <w:r w:rsidR="00853C93">
        <w:rPr>
          <w:rFonts w:ascii="Palatino Linotype" w:eastAsia="Palatino Linotype" w:hAnsi="Palatino Linotype" w:cs="Palatino Linotype"/>
          <w:i/>
        </w:rPr>
        <w:t>Rendición de cuentas</w:t>
      </w:r>
      <w:r w:rsidR="00853C93">
        <w:rPr>
          <w:rFonts w:ascii="Palatino Linotype" w:eastAsia="Palatino Linotype" w:hAnsi="Palatino Linotype" w:cs="Palatino Linotype"/>
        </w:rPr>
        <w:t xml:space="preserve">, se obtuvieron algunos resultados interesantes entre ellos: a la pregunta sobre si había algún mecanismo de evaluación ciudadana sobre la gestión pública, se registraron 36 respuestas en sentido afirmativo </w:t>
      </w:r>
      <w:r w:rsidR="00853C93">
        <w:rPr>
          <w:rFonts w:ascii="Palatino Linotype" w:eastAsia="Palatino Linotype" w:hAnsi="Palatino Linotype" w:cs="Palatino Linotype"/>
          <w:b/>
        </w:rPr>
        <w:t>(30% de los municipios encuestados),</w:t>
      </w:r>
      <w:r w:rsidR="00853C93">
        <w:rPr>
          <w:rFonts w:ascii="Palatino Linotype" w:eastAsia="Palatino Linotype" w:hAnsi="Palatino Linotype" w:cs="Palatino Linotype"/>
        </w:rPr>
        <w:t xml:space="preserve"> de los cuales </w:t>
      </w:r>
      <w:r w:rsidR="00853C93">
        <w:rPr>
          <w:rFonts w:ascii="Palatino Linotype" w:eastAsia="Palatino Linotype" w:hAnsi="Palatino Linotype" w:cs="Palatino Linotype"/>
          <w:b/>
        </w:rPr>
        <w:t>32, además, contestaron que tienen una forma de retroalimentar dicha evaluación.</w:t>
      </w:r>
      <w:r w:rsidR="00853C93">
        <w:rPr>
          <w:rFonts w:ascii="Palatino Linotype" w:eastAsia="Palatino Linotype" w:hAnsi="Palatino Linotype" w:cs="Palatino Linotype"/>
        </w:rPr>
        <w:t xml:space="preserve"> </w:t>
      </w:r>
    </w:p>
    <w:p w14:paraId="576DDD5E"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2CD238D7"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realizar un cruce de esta información al respecto con la dimensión de </w:t>
      </w:r>
      <w:r>
        <w:rPr>
          <w:rFonts w:ascii="Palatino Linotype" w:eastAsia="Palatino Linotype" w:hAnsi="Palatino Linotype" w:cs="Palatino Linotype"/>
          <w:i/>
        </w:rPr>
        <w:t>Participación ciudadana</w:t>
      </w:r>
      <w:r>
        <w:rPr>
          <w:rFonts w:ascii="Palatino Linotype" w:eastAsia="Palatino Linotype" w:hAnsi="Palatino Linotype" w:cs="Palatino Linotype"/>
        </w:rPr>
        <w:t xml:space="preserve">, referente a si contaban con mecanismos conjuntos de evaluación de soluciones a diversas problemáticas, resultó que </w:t>
      </w:r>
      <w:r>
        <w:rPr>
          <w:rFonts w:ascii="Palatino Linotype" w:eastAsia="Palatino Linotype" w:hAnsi="Palatino Linotype" w:cs="Palatino Linotype"/>
          <w:b/>
        </w:rPr>
        <w:t xml:space="preserve">28 de ellos sí cuentan con tal esquema, siendo los municipios de: Acolman, Amatepec, Coatepec Harinas, Cuautitlán, Ixtlahuaca, Jilotepec, Jocotitlán, Joquicingo, Juchitepec, Nopaltepec, Otzolotepec, Ozumba, San Felipe del Progreso, San José del Rincón, Tejupilco, Temascalapa, Tepetlaoxtoc, Tepetlixpa, Tepotzotlán, Texcalyacac, Texcoco, Tianguistenco, Timilpan, Tlalnepantla de Baz, Toluca, Tultitlán, Villa Victoria y Zumpango. </w:t>
      </w:r>
      <w:r>
        <w:rPr>
          <w:rFonts w:ascii="Palatino Linotype" w:eastAsia="Palatino Linotype" w:hAnsi="Palatino Linotype" w:cs="Palatino Linotype"/>
        </w:rPr>
        <w:t xml:space="preserve">De estos, únicamente </w:t>
      </w:r>
      <w:r>
        <w:rPr>
          <w:rFonts w:ascii="Palatino Linotype" w:eastAsia="Palatino Linotype" w:hAnsi="Palatino Linotype" w:cs="Palatino Linotype"/>
          <w:b/>
        </w:rPr>
        <w:t xml:space="preserve">12 </w:t>
      </w:r>
      <w:r>
        <w:rPr>
          <w:rFonts w:ascii="Palatino Linotype" w:eastAsia="Palatino Linotype" w:hAnsi="Palatino Linotype" w:cs="Palatino Linotype"/>
        </w:rPr>
        <w:t xml:space="preserve">refieren que en sus </w:t>
      </w:r>
      <w:r>
        <w:rPr>
          <w:rFonts w:ascii="Palatino Linotype" w:eastAsia="Palatino Linotype" w:hAnsi="Palatino Linotype" w:cs="Palatino Linotype"/>
        </w:rPr>
        <w:lastRenderedPageBreak/>
        <w:t xml:space="preserve">Bandos se expresa con claridad el término de </w:t>
      </w:r>
      <w:r>
        <w:rPr>
          <w:rFonts w:ascii="Palatino Linotype" w:eastAsia="Palatino Linotype" w:hAnsi="Palatino Linotype" w:cs="Palatino Linotype"/>
          <w:i/>
        </w:rPr>
        <w:t>Gobierno Abierto</w:t>
      </w:r>
      <w:r>
        <w:rPr>
          <w:rFonts w:ascii="Palatino Linotype" w:eastAsia="Palatino Linotype" w:hAnsi="Palatino Linotype" w:cs="Palatino Linotype"/>
          <w:vertAlign w:val="superscript"/>
        </w:rPr>
        <w:footnoteReference w:id="12"/>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Esto significa que en </w:t>
      </w:r>
      <w:r>
        <w:rPr>
          <w:rFonts w:ascii="Palatino Linotype" w:eastAsia="Palatino Linotype" w:hAnsi="Palatino Linotype" w:cs="Palatino Linotype"/>
          <w:b/>
        </w:rPr>
        <w:t>10% de los municipios</w:t>
      </w:r>
      <w:r>
        <w:rPr>
          <w:rFonts w:ascii="Palatino Linotype" w:eastAsia="Palatino Linotype" w:hAnsi="Palatino Linotype" w:cs="Palatino Linotype"/>
        </w:rPr>
        <w:t xml:space="preserve"> del Estado hay una aparente alineación entre el interés de la apertura gubernamental de promover el involucramiento ciudadano mediante la evaluación a las actividades de sus autoridades. </w:t>
      </w:r>
    </w:p>
    <w:p w14:paraId="17DB53D8"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542C40BC"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Acerca de los Informes presentados por los ediles, </w:t>
      </w:r>
      <w:r>
        <w:rPr>
          <w:rFonts w:ascii="Palatino Linotype" w:eastAsia="Palatino Linotype" w:hAnsi="Palatino Linotype" w:cs="Palatino Linotype"/>
          <w:b/>
        </w:rPr>
        <w:t>8 de cada 10 municipios no cuentan con algún procedimiento para que la ciudadanía evalúe dichos documentos</w:t>
      </w:r>
      <w:r>
        <w:rPr>
          <w:rFonts w:ascii="Palatino Linotype" w:eastAsia="Palatino Linotype" w:hAnsi="Palatino Linotype" w:cs="Palatino Linotype"/>
        </w:rPr>
        <w:t xml:space="preserve">, cumpliendo únicamente con el deber de presentarlos pero sin que se reciba retroalimentación de la población. Lo anterior es contrastante con el registro de que </w:t>
      </w:r>
      <w:r>
        <w:rPr>
          <w:rFonts w:ascii="Palatino Linotype" w:eastAsia="Palatino Linotype" w:hAnsi="Palatino Linotype" w:cs="Palatino Linotype"/>
          <w:b/>
        </w:rPr>
        <w:t>4 de cada 10 afirman que hay involucramiento ciudadano para la integración del informe</w:t>
      </w:r>
      <w:r>
        <w:rPr>
          <w:rFonts w:ascii="Palatino Linotype" w:eastAsia="Palatino Linotype" w:hAnsi="Palatino Linotype" w:cs="Palatino Linotype"/>
        </w:rPr>
        <w:t xml:space="preserve">, lo cual supone que en dicho ejercicio hay espacios acotados para que realmente intervengan la sociedad en un ejercicio que detone la efectiva rendición de cuentas. </w:t>
      </w:r>
    </w:p>
    <w:p w14:paraId="40BC6023"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15C0F183"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 dato relevante es que en al menos </w:t>
      </w:r>
      <w:r>
        <w:rPr>
          <w:rFonts w:ascii="Palatino Linotype" w:eastAsia="Palatino Linotype" w:hAnsi="Palatino Linotype" w:cs="Palatino Linotype"/>
          <w:b/>
        </w:rPr>
        <w:t>38</w:t>
      </w:r>
      <w:r>
        <w:rPr>
          <w:rFonts w:ascii="Palatino Linotype" w:eastAsia="Palatino Linotype" w:hAnsi="Palatino Linotype" w:cs="Palatino Linotype"/>
        </w:rPr>
        <w:t xml:space="preserve"> municipios </w:t>
      </w:r>
      <w:r>
        <w:rPr>
          <w:rFonts w:ascii="Palatino Linotype" w:eastAsia="Palatino Linotype" w:hAnsi="Palatino Linotype" w:cs="Palatino Linotype"/>
          <w:b/>
        </w:rPr>
        <w:t>(32% de los que participaron en el cuestionario)</w:t>
      </w:r>
      <w:r>
        <w:rPr>
          <w:rFonts w:ascii="Palatino Linotype" w:eastAsia="Palatino Linotype" w:hAnsi="Palatino Linotype" w:cs="Palatino Linotype"/>
        </w:rPr>
        <w:t xml:space="preserve"> se cuenta con una comisión edilicia responsable de promover la ética en la función pública. Al relacionar este dato con la pregunta de la dimensión </w:t>
      </w:r>
      <w:r>
        <w:rPr>
          <w:rFonts w:ascii="Palatino Linotype" w:eastAsia="Palatino Linotype" w:hAnsi="Palatino Linotype" w:cs="Palatino Linotype"/>
          <w:i/>
        </w:rPr>
        <w:t>Normatividad</w:t>
      </w:r>
      <w:r>
        <w:rPr>
          <w:rFonts w:ascii="Palatino Linotype" w:eastAsia="Palatino Linotype" w:hAnsi="Palatino Linotype" w:cs="Palatino Linotype"/>
        </w:rPr>
        <w:t xml:space="preserve">, alusiva a la existencia de algún reglamento o código de ética, el 85% de ese conjunto de municipios sí cuenta con el, lo cual indicaría una correspondencia entre los esfuerzos a nivel de Cabildo con instrumentos normativos para posicionar este tema al interior de la administración pública. </w:t>
      </w:r>
    </w:p>
    <w:p w14:paraId="25FDFD6B"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1BEFA8A5"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en el rubro de uso de TIC’s, se puede destacar que el </w:t>
      </w:r>
      <w:r>
        <w:rPr>
          <w:rFonts w:ascii="Palatino Linotype" w:eastAsia="Palatino Linotype" w:hAnsi="Palatino Linotype" w:cs="Palatino Linotype"/>
          <w:b/>
        </w:rPr>
        <w:t>71% de municipios cuentan con una unidad administrativa responsable de implementar medios para la gestión pública digital</w:t>
      </w:r>
      <w:r>
        <w:rPr>
          <w:rFonts w:ascii="Palatino Linotype" w:eastAsia="Palatino Linotype" w:hAnsi="Palatino Linotype" w:cs="Palatino Linotype"/>
        </w:rPr>
        <w:t xml:space="preserve"> (es decir, para realizar trámites y servicios en línea). Sin embargo, de ese porcentaje, es decir </w:t>
      </w:r>
      <w:r>
        <w:rPr>
          <w:rFonts w:ascii="Palatino Linotype" w:eastAsia="Palatino Linotype" w:hAnsi="Palatino Linotype" w:cs="Palatino Linotype"/>
          <w:b/>
        </w:rPr>
        <w:t>83 municipios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27 </w:t>
      </w:r>
      <w:r>
        <w:rPr>
          <w:rFonts w:ascii="Palatino Linotype" w:eastAsia="Palatino Linotype" w:hAnsi="Palatino Linotype" w:cs="Palatino Linotype"/>
        </w:rPr>
        <w:t xml:space="preserve">declararon que no tienen recursos humanos o infraestructura suficiente para cumplir totalmente con dicha estrategia. Ello sugiere un punto interesante de análisis a profundidad para conocer cuál es la realidad de dichos municipios y cómo operan su gestión electrónica. </w:t>
      </w:r>
    </w:p>
    <w:p w14:paraId="54259350"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409147F1"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de esos </w:t>
      </w:r>
      <w:r>
        <w:rPr>
          <w:rFonts w:ascii="Palatino Linotype" w:eastAsia="Palatino Linotype" w:hAnsi="Palatino Linotype" w:cs="Palatino Linotype"/>
          <w:b/>
        </w:rPr>
        <w:t>27</w:t>
      </w:r>
      <w:r>
        <w:rPr>
          <w:rFonts w:ascii="Palatino Linotype" w:eastAsia="Palatino Linotype" w:hAnsi="Palatino Linotype" w:cs="Palatino Linotype"/>
        </w:rPr>
        <w:t xml:space="preserve">, </w:t>
      </w:r>
      <w:r>
        <w:rPr>
          <w:rFonts w:ascii="Palatino Linotype" w:eastAsia="Palatino Linotype" w:hAnsi="Palatino Linotype" w:cs="Palatino Linotype"/>
          <w:b/>
        </w:rPr>
        <w:t>sólo 8 (es decir, el 30%)</w:t>
      </w:r>
      <w:r>
        <w:rPr>
          <w:rFonts w:ascii="Palatino Linotype" w:eastAsia="Palatino Linotype" w:hAnsi="Palatino Linotype" w:cs="Palatino Linotype"/>
        </w:rPr>
        <w:t xml:space="preserve">, </w:t>
      </w:r>
      <w:r>
        <w:rPr>
          <w:rFonts w:ascii="Palatino Linotype" w:eastAsia="Palatino Linotype" w:hAnsi="Palatino Linotype" w:cs="Palatino Linotype"/>
          <w:b/>
        </w:rPr>
        <w:t>dan a conocer a sus ciudadanos que pueden realizar trámites en línea,</w:t>
      </w:r>
      <w:r>
        <w:rPr>
          <w:rFonts w:ascii="Palatino Linotype" w:eastAsia="Palatino Linotype" w:hAnsi="Palatino Linotype" w:cs="Palatino Linotype"/>
        </w:rPr>
        <w:t xml:space="preserve"> lo que supone un esfuerzo adicional que puede ser un área de oportunidad</w:t>
      </w:r>
      <w:r>
        <w:rPr>
          <w:rFonts w:ascii="Palatino Linotype" w:eastAsia="Palatino Linotype" w:hAnsi="Palatino Linotype" w:cs="Palatino Linotype"/>
          <w:vertAlign w:val="superscript"/>
        </w:rPr>
        <w:footnoteReference w:id="13"/>
      </w:r>
      <w:r>
        <w:rPr>
          <w:rFonts w:ascii="Palatino Linotype" w:eastAsia="Palatino Linotype" w:hAnsi="Palatino Linotype" w:cs="Palatino Linotype"/>
        </w:rPr>
        <w:t>. Finalmente, se detectó que el</w:t>
      </w:r>
      <w:r>
        <w:rPr>
          <w:rFonts w:ascii="Palatino Linotype" w:eastAsia="Palatino Linotype" w:hAnsi="Palatino Linotype" w:cs="Palatino Linotype"/>
          <w:b/>
        </w:rPr>
        <w:t xml:space="preserve"> 77% de municipios dicen contar con algún canal de comunicación directa con el ciudadano</w:t>
      </w:r>
      <w:r>
        <w:rPr>
          <w:rFonts w:ascii="Palatino Linotype" w:eastAsia="Palatino Linotype" w:hAnsi="Palatino Linotype" w:cs="Palatino Linotype"/>
        </w:rPr>
        <w:t xml:space="preserve"> (teléfono de asistencia, chat, WhastApp, etc), lo que indicaría que se están empleando en la mayoría de lugares las tecnologías como un medio privilegiado para facilitar la interacción con la población. Al contrastar dichos </w:t>
      </w:r>
      <w:r>
        <w:rPr>
          <w:rFonts w:ascii="Palatino Linotype" w:eastAsia="Palatino Linotype" w:hAnsi="Palatino Linotype" w:cs="Palatino Linotype"/>
        </w:rPr>
        <w:lastRenderedPageBreak/>
        <w:t xml:space="preserve">resultados con la pregunta de la dimensión </w:t>
      </w:r>
      <w:r>
        <w:rPr>
          <w:rFonts w:ascii="Palatino Linotype" w:eastAsia="Palatino Linotype" w:hAnsi="Palatino Linotype" w:cs="Palatino Linotype"/>
          <w:i/>
        </w:rPr>
        <w:t>Participación ciudadana</w:t>
      </w:r>
      <w:r>
        <w:rPr>
          <w:rFonts w:ascii="Palatino Linotype" w:eastAsia="Palatino Linotype" w:hAnsi="Palatino Linotype" w:cs="Palatino Linotype"/>
        </w:rPr>
        <w:t xml:space="preserve">, relativa a los medios de difusión para promover una comunicación más activa, apenas </w:t>
      </w:r>
      <w:r>
        <w:rPr>
          <w:rFonts w:ascii="Palatino Linotype" w:eastAsia="Palatino Linotype" w:hAnsi="Palatino Linotype" w:cs="Palatino Linotype"/>
          <w:b/>
        </w:rPr>
        <w:t>54 de ellos (es decir, el 60%)</w:t>
      </w:r>
      <w:r>
        <w:rPr>
          <w:rFonts w:ascii="Palatino Linotype" w:eastAsia="Palatino Linotype" w:hAnsi="Palatino Linotype" w:cs="Palatino Linotype"/>
        </w:rPr>
        <w:t xml:space="preserve">, realmente los tiene. Este dato pudiera advertir que los canales no se difunden o no se están empleando totalmente por los municipios que dicen contar con ellos. </w:t>
      </w:r>
    </w:p>
    <w:p w14:paraId="2081C743"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2DC61F98"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REFLEXIONES FINALES</w:t>
      </w:r>
    </w:p>
    <w:p w14:paraId="24B6E449"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176084BC"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todo lo desarrollado, se puede observar la gran diversidad existente entre los municipios mexiquenses respecto de sus condiciones para promover la apertura gubernamental. Si bien dichas diferencias son normales, destaca que hay casos en los que los esfuerzos por garantizar el acceso a la información van de la mano con mecanismos que intentan la promoción de la participación ciudadana. En ese sentido, se puede decir que hay mayores ventanas de oportunidad de alentar esquemas de Gobierno Abierto en aquellos municipios en donde sí se toma en cuenta el parecer de la ciudadanía para la toma de decisiones (si bien acotada y a reserva de validar la información recabada). </w:t>
      </w:r>
    </w:p>
    <w:p w14:paraId="6CD0ED52"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262D5881"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Otro indicativo interesante es que la mayoría de los municipios están haciendo uso de la tecnología como herramienta para potencializar su comunicación con la ciudadanía. Este hecho es relevante en la medida en que, como se señaló en la parte inicial del documento, dichos instrumentos son una de las bases para promover la apertura en la medida en que facilitan la intervención de la sociedad en el conocimiento de las labores públicas. Esta dimensión es la que podría considerarse como un punto favorable para los esquemas de apertura. </w:t>
      </w:r>
    </w:p>
    <w:p w14:paraId="34A90E20"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548FC37B" w14:textId="6E5D2416"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w:t>
      </w:r>
      <w:r w:rsidR="003263B8">
        <w:rPr>
          <w:rFonts w:ascii="Palatino Linotype" w:eastAsia="Palatino Linotype" w:hAnsi="Palatino Linotype" w:cs="Palatino Linotype"/>
        </w:rPr>
        <w:t>otra parte</w:t>
      </w:r>
      <w:r>
        <w:rPr>
          <w:rFonts w:ascii="Palatino Linotype" w:eastAsia="Palatino Linotype" w:hAnsi="Palatino Linotype" w:cs="Palatino Linotype"/>
        </w:rPr>
        <w:t xml:space="preserve">, llama la atención que en algunos municipios se cuente con espacios donde diversos actores pueden incidir en el proceso de toma de decisiones. Este hallazgo resultará de gran provecho si se corrobora porque indicaría que ya hay ejercicios muy cercanos a los de Gobierno Abierto que se pretenden impulsar. Sin embargo, también hay que destacar que la asignatura pendiente sigue siendo la evaluación ciudadana a la gestión pública ya que son pocos los espacios en los que, además, hace falta calibrar adecuadamente el peso que tiene esa evaluación sobre la función gubernamental. </w:t>
      </w:r>
    </w:p>
    <w:p w14:paraId="2A4B2811"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204CDA9C"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conviene subrayar que estos resultados pasarán por un proceso de validación, a fin de contar con información precisa y estar en condiciones de emitir un estudio final con el rigor metodológico que se requiere para este tipo de ejercicios. </w:t>
      </w:r>
    </w:p>
    <w:p w14:paraId="3F6B629F"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15B34056"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18B7DD2A"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60AC5764"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4EA18DF0"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26CF1EA2"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72D6FCA6"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rPr>
      </w:pPr>
    </w:p>
    <w:p w14:paraId="3CA7574E"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REFERENCIAS</w:t>
      </w:r>
    </w:p>
    <w:p w14:paraId="7ACD0D7F" w14:textId="77777777" w:rsidR="00A17147" w:rsidRDefault="00A17147">
      <w:pPr>
        <w:pBdr>
          <w:top w:val="nil"/>
          <w:left w:val="nil"/>
          <w:bottom w:val="nil"/>
          <w:right w:val="nil"/>
          <w:between w:val="nil"/>
        </w:pBdr>
        <w:spacing w:after="0" w:line="240" w:lineRule="auto"/>
        <w:jc w:val="both"/>
        <w:rPr>
          <w:rFonts w:ascii="Palatino Linotype" w:eastAsia="Palatino Linotype" w:hAnsi="Palatino Linotype" w:cs="Palatino Linotype"/>
          <w:b/>
        </w:rPr>
      </w:pPr>
    </w:p>
    <w:p w14:paraId="278BA9E3" w14:textId="77777777" w:rsidR="00A17147" w:rsidRDefault="00853C93">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Arroyo, Jennifer (2017) “Innovación abierta como pilar del gobierno abierto” en Revista Enfoques: Ciencias Políticas y Administración Pública, vol. XV, núm. 27, julio-diciembre, pp. 13-41. Universidad Central de Chile. Chile. Disponible en </w:t>
      </w:r>
      <w:hyperlink r:id="rId9">
        <w:r>
          <w:rPr>
            <w:rFonts w:ascii="Palatino Linotype" w:eastAsia="Palatino Linotype" w:hAnsi="Palatino Linotype" w:cs="Palatino Linotype"/>
            <w:color w:val="1155CC"/>
            <w:u w:val="single"/>
          </w:rPr>
          <w:t>http://www.redalyc.org/articulo.oa?id=96055458002</w:t>
        </w:r>
      </w:hyperlink>
      <w:r>
        <w:rPr>
          <w:rFonts w:ascii="Palatino Linotype" w:eastAsia="Palatino Linotype" w:hAnsi="Palatino Linotype" w:cs="Palatino Linotype"/>
        </w:rPr>
        <w:t xml:space="preserve">. </w:t>
      </w:r>
    </w:p>
    <w:p w14:paraId="340140E8" w14:textId="77777777" w:rsidR="00A17147" w:rsidRDefault="00A17147">
      <w:pPr>
        <w:pBdr>
          <w:top w:val="nil"/>
          <w:left w:val="nil"/>
          <w:bottom w:val="nil"/>
          <w:right w:val="nil"/>
          <w:between w:val="nil"/>
        </w:pBdr>
        <w:spacing w:after="0" w:line="240" w:lineRule="auto"/>
        <w:ind w:left="720"/>
        <w:jc w:val="both"/>
        <w:rPr>
          <w:rFonts w:ascii="Palatino Linotype" w:eastAsia="Palatino Linotype" w:hAnsi="Palatino Linotype" w:cs="Palatino Linotype"/>
        </w:rPr>
      </w:pPr>
    </w:p>
    <w:p w14:paraId="2F23DD26" w14:textId="77777777" w:rsidR="00A17147" w:rsidRDefault="00853C93">
      <w:pPr>
        <w:numPr>
          <w:ilvl w:val="0"/>
          <w:numId w:val="2"/>
        </w:num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Heikkila, Tanya y Gerlak, Andrea (2021) “Construyendo un enfoque conceptual para el aprendizaje colectivo: lecciones para los estudiosos de políticas públicas”, en Héctor Arámbula (comp.) </w:t>
      </w:r>
      <w:r>
        <w:rPr>
          <w:rFonts w:ascii="Palatino Linotype" w:eastAsia="Palatino Linotype" w:hAnsi="Palatino Linotype" w:cs="Palatino Linotype"/>
          <w:i/>
        </w:rPr>
        <w:t>Políticas públicas: perspectivas para el análisis y diseño</w:t>
      </w:r>
      <w:r>
        <w:rPr>
          <w:rFonts w:ascii="Palatino Linotype" w:eastAsia="Palatino Linotype" w:hAnsi="Palatino Linotype" w:cs="Palatino Linotype"/>
        </w:rPr>
        <w:t>, pp. 339-388. Siglo XXI Editores, Ciudad de México.</w:t>
      </w:r>
    </w:p>
    <w:p w14:paraId="0DE7BE9E" w14:textId="77777777" w:rsidR="00A17147" w:rsidRDefault="00A17147">
      <w:pPr>
        <w:spacing w:after="0" w:line="240" w:lineRule="auto"/>
        <w:ind w:left="720"/>
        <w:jc w:val="both"/>
        <w:rPr>
          <w:rFonts w:ascii="Palatino Linotype" w:eastAsia="Palatino Linotype" w:hAnsi="Palatino Linotype" w:cs="Palatino Linotype"/>
        </w:rPr>
      </w:pPr>
    </w:p>
    <w:p w14:paraId="0E8875A3" w14:textId="77777777" w:rsidR="00A17147" w:rsidRDefault="00853C93">
      <w:pPr>
        <w:numPr>
          <w:ilvl w:val="0"/>
          <w:numId w:val="2"/>
        </w:num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Morales, Katya y Ramírez, Alejandro (2021) “El Consejo Ciudadano de Contraloría Social del Municipio de León, Guanajuato. Un ejercicio de Gobierno Abierto”, en Luis F. Aguilar y Edgar A. Ruvalcaba (coords.) </w:t>
      </w:r>
      <w:r>
        <w:rPr>
          <w:rFonts w:ascii="Palatino Linotype" w:eastAsia="Palatino Linotype" w:hAnsi="Palatino Linotype" w:cs="Palatino Linotype"/>
          <w:i/>
        </w:rPr>
        <w:t>Gobierno Abierto en México. Estudios de caso en Gobiernos Subnacionales. Volumen 2,</w:t>
      </w:r>
      <w:r>
        <w:rPr>
          <w:rFonts w:ascii="Palatino Linotype" w:eastAsia="Palatino Linotype" w:hAnsi="Palatino Linotype" w:cs="Palatino Linotype"/>
        </w:rPr>
        <w:t xml:space="preserve"> pp. 217-252. Tirant LoBlanch Editores, Ciudad de México. </w:t>
      </w:r>
    </w:p>
    <w:p w14:paraId="2415B792" w14:textId="77777777" w:rsidR="00A17147" w:rsidRDefault="00A17147">
      <w:pPr>
        <w:spacing w:after="0" w:line="240" w:lineRule="auto"/>
        <w:ind w:left="720"/>
        <w:jc w:val="both"/>
        <w:rPr>
          <w:rFonts w:ascii="Palatino Linotype" w:eastAsia="Palatino Linotype" w:hAnsi="Palatino Linotype" w:cs="Palatino Linotype"/>
        </w:rPr>
      </w:pPr>
    </w:p>
    <w:p w14:paraId="70302F35" w14:textId="77777777" w:rsidR="00A17147" w:rsidRDefault="00853C93">
      <w:pPr>
        <w:numPr>
          <w:ilvl w:val="0"/>
          <w:numId w:val="2"/>
        </w:num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Oszlak, Óscar (2019) “Gobierno Abierto: hacia un nuevo paradigma de gestión pública”, en Lourdes Morales (comp.) </w:t>
      </w:r>
      <w:r>
        <w:rPr>
          <w:rFonts w:ascii="Palatino Linotype" w:eastAsia="Palatino Linotype" w:hAnsi="Palatino Linotype" w:cs="Palatino Linotype"/>
          <w:i/>
        </w:rPr>
        <w:t>Gobierno Abierto</w:t>
      </w:r>
      <w:r>
        <w:rPr>
          <w:rFonts w:ascii="Palatino Linotype" w:eastAsia="Palatino Linotype" w:hAnsi="Palatino Linotype" w:cs="Palatino Linotype"/>
        </w:rPr>
        <w:t xml:space="preserve">, pp. 43-85. Siglo XXI Editores, Ciudad de México. </w:t>
      </w:r>
    </w:p>
    <w:p w14:paraId="038FF5ED" w14:textId="77777777" w:rsidR="00A17147" w:rsidRDefault="00A17147">
      <w:pPr>
        <w:spacing w:after="0" w:line="240" w:lineRule="auto"/>
        <w:ind w:left="720"/>
        <w:jc w:val="both"/>
        <w:rPr>
          <w:rFonts w:ascii="Palatino Linotype" w:eastAsia="Palatino Linotype" w:hAnsi="Palatino Linotype" w:cs="Palatino Linotype"/>
        </w:rPr>
      </w:pPr>
    </w:p>
    <w:p w14:paraId="44DA2757" w14:textId="77777777" w:rsidR="00A17147" w:rsidRDefault="00853C93">
      <w:pPr>
        <w:numPr>
          <w:ilvl w:val="0"/>
          <w:numId w:val="2"/>
        </w:num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Uvalle, Ricardo (2016) “Fundamentos de la transparencia en la sociedad contemporánea” en Revista Mexicana de Ciencias Políticas y Sociales, vol. LXI, núm. 226, enero-abril, pp. 199-220. Universidad Nacional Autónoma de México. México. Disponible en: </w:t>
      </w:r>
      <w:hyperlink r:id="rId10">
        <w:r>
          <w:rPr>
            <w:rFonts w:ascii="Palatino Linotype" w:eastAsia="Palatino Linotype" w:hAnsi="Palatino Linotype" w:cs="Palatino Linotype"/>
            <w:color w:val="1155CC"/>
            <w:u w:val="single"/>
          </w:rPr>
          <w:t>http://www.redalyc.org/articulo.oa?id=42144001008</w:t>
        </w:r>
      </w:hyperlink>
      <w:r>
        <w:rPr>
          <w:rFonts w:ascii="Palatino Linotype" w:eastAsia="Palatino Linotype" w:hAnsi="Palatino Linotype" w:cs="Palatino Linotype"/>
        </w:rPr>
        <w:t xml:space="preserve"> </w:t>
      </w:r>
    </w:p>
    <w:p w14:paraId="00240ED3" w14:textId="77777777" w:rsidR="00A17147" w:rsidRDefault="00A17147">
      <w:pPr>
        <w:spacing w:after="0" w:line="240" w:lineRule="auto"/>
        <w:ind w:left="720"/>
        <w:jc w:val="both"/>
        <w:rPr>
          <w:rFonts w:ascii="Palatino Linotype" w:eastAsia="Palatino Linotype" w:hAnsi="Palatino Linotype" w:cs="Palatino Linotype"/>
        </w:rPr>
      </w:pPr>
    </w:p>
    <w:p w14:paraId="02595C72" w14:textId="77777777" w:rsidR="00A17147" w:rsidRDefault="00853C93">
      <w:pPr>
        <w:numPr>
          <w:ilvl w:val="0"/>
          <w:numId w:val="2"/>
        </w:num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Zaremberg, Gisela y Martínez, Diana (2020) “El enfoque de redes de políticas: contextos, aportes y desafíos”, en Gloria del Castillo y Mauricio I. Dussauge (eds.) </w:t>
      </w:r>
      <w:r>
        <w:rPr>
          <w:rFonts w:ascii="Palatino Linotype" w:eastAsia="Palatino Linotype" w:hAnsi="Palatino Linotype" w:cs="Palatino Linotype"/>
          <w:i/>
        </w:rPr>
        <w:t>Enfoques teóricos de políticas públicas: desarrollos contemporáneos para América Latina</w:t>
      </w:r>
      <w:r>
        <w:rPr>
          <w:rFonts w:ascii="Palatino Linotype" w:eastAsia="Palatino Linotype" w:hAnsi="Palatino Linotype" w:cs="Palatino Linotype"/>
        </w:rPr>
        <w:t xml:space="preserve">, pp. 179-208. FLACSO México, Ciudad de México. </w:t>
      </w:r>
    </w:p>
    <w:sectPr w:rsidR="00A17147" w:rsidSect="008672ED">
      <w:headerReference w:type="default" r:id="rId11"/>
      <w:footerReference w:type="default" r:id="rId12"/>
      <w:pgSz w:w="12240" w:h="15840"/>
      <w:pgMar w:top="2268" w:right="1701" w:bottom="1418" w:left="1701" w:header="709" w:footer="9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509D" w14:textId="77777777" w:rsidR="009B1E8D" w:rsidRDefault="009B1E8D">
      <w:pPr>
        <w:spacing w:after="0" w:line="240" w:lineRule="auto"/>
      </w:pPr>
      <w:r>
        <w:separator/>
      </w:r>
    </w:p>
  </w:endnote>
  <w:endnote w:type="continuationSeparator" w:id="0">
    <w:p w14:paraId="099A5BB3" w14:textId="77777777" w:rsidR="009B1E8D" w:rsidRDefault="009B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393530"/>
      <w:docPartObj>
        <w:docPartGallery w:val="Page Numbers (Bottom of Page)"/>
        <w:docPartUnique/>
      </w:docPartObj>
    </w:sdtPr>
    <w:sdtEndPr>
      <w:rPr>
        <w:color w:val="7F7F7F" w:themeColor="background1" w:themeShade="7F"/>
        <w:spacing w:val="60"/>
        <w:lang w:val="es-ES"/>
      </w:rPr>
    </w:sdtEndPr>
    <w:sdtContent>
      <w:p w14:paraId="0325264A" w14:textId="692A0942" w:rsidR="008672ED" w:rsidRDefault="008672ED">
        <w:pPr>
          <w:pStyle w:val="Piedepgina"/>
          <w:pBdr>
            <w:top w:val="single" w:sz="4" w:space="1" w:color="D9D9D9" w:themeColor="background1" w:themeShade="D9"/>
          </w:pBdr>
          <w:jc w:val="right"/>
        </w:pPr>
        <w:r w:rsidRPr="008672ED">
          <w:rPr>
            <w:rFonts w:ascii="Palatino Linotype" w:hAnsi="Palatino Linotype"/>
          </w:rPr>
          <w:fldChar w:fldCharType="begin"/>
        </w:r>
        <w:r w:rsidRPr="008672ED">
          <w:rPr>
            <w:rFonts w:ascii="Palatino Linotype" w:hAnsi="Palatino Linotype"/>
          </w:rPr>
          <w:instrText>PAGE   \* MERGEFORMAT</w:instrText>
        </w:r>
        <w:r w:rsidRPr="008672ED">
          <w:rPr>
            <w:rFonts w:ascii="Palatino Linotype" w:hAnsi="Palatino Linotype"/>
          </w:rPr>
          <w:fldChar w:fldCharType="separate"/>
        </w:r>
        <w:r w:rsidRPr="008672ED">
          <w:rPr>
            <w:rFonts w:ascii="Palatino Linotype" w:hAnsi="Palatino Linotype"/>
            <w:lang w:val="es-ES"/>
          </w:rPr>
          <w:t>2</w:t>
        </w:r>
        <w:r w:rsidRPr="008672ED">
          <w:rPr>
            <w:rFonts w:ascii="Palatino Linotype" w:hAnsi="Palatino Linotype"/>
          </w:rPr>
          <w:fldChar w:fldCharType="end"/>
        </w:r>
        <w:r w:rsidRPr="008672ED">
          <w:rPr>
            <w:rFonts w:ascii="Palatino Linotype" w:hAnsi="Palatino Linotype"/>
            <w:lang w:val="es-ES"/>
          </w:rPr>
          <w:t xml:space="preserve"> | </w:t>
        </w:r>
        <w:r w:rsidRPr="008672ED">
          <w:rPr>
            <w:rFonts w:ascii="Palatino Linotype" w:hAnsi="Palatino Linotype"/>
            <w:color w:val="7F7F7F" w:themeColor="background1" w:themeShade="7F"/>
            <w:spacing w:val="60"/>
            <w:lang w:val="es-ES"/>
          </w:rPr>
          <w:t>Página</w:t>
        </w:r>
      </w:p>
    </w:sdtContent>
  </w:sdt>
  <w:p w14:paraId="5904ABAB" w14:textId="77777777" w:rsidR="008672ED" w:rsidRDefault="008672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3E07F" w14:textId="77777777" w:rsidR="009B1E8D" w:rsidRDefault="009B1E8D">
      <w:pPr>
        <w:spacing w:after="0" w:line="240" w:lineRule="auto"/>
      </w:pPr>
      <w:r>
        <w:separator/>
      </w:r>
    </w:p>
  </w:footnote>
  <w:footnote w:type="continuationSeparator" w:id="0">
    <w:p w14:paraId="6A62E898" w14:textId="77777777" w:rsidR="009B1E8D" w:rsidRDefault="009B1E8D">
      <w:pPr>
        <w:spacing w:after="0" w:line="240" w:lineRule="auto"/>
      </w:pPr>
      <w:r>
        <w:continuationSeparator/>
      </w:r>
    </w:p>
  </w:footnote>
  <w:footnote w:id="1">
    <w:p w14:paraId="3EFBA9E1"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momento de integrar el presente documento aún no se contaba con información de los siguientes municipios: Almoloya de Alquisiras, Ixtapan del Oro, Nextlalpan, Ocoyoacac, Temoaya, Tenancingo, Teoloyucan y Tezoyuca.</w:t>
      </w:r>
    </w:p>
  </w:footnote>
  <w:footnote w:id="2">
    <w:p w14:paraId="57B0E797"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Uno de los trabajos de los que se extrajo referencias conceptuales importantes es el de Sánchez, José Juan (2019) </w:t>
      </w:r>
      <w:r>
        <w:rPr>
          <w:rFonts w:ascii="Palatino Linotype" w:eastAsia="Palatino Linotype" w:hAnsi="Palatino Linotype" w:cs="Palatino Linotype"/>
          <w:i/>
          <w:color w:val="000000"/>
          <w:sz w:val="20"/>
          <w:szCs w:val="20"/>
        </w:rPr>
        <w:t>“Gobierno Abierto en gobiernos locales en México”</w:t>
      </w:r>
      <w:r>
        <w:rPr>
          <w:rFonts w:ascii="Palatino Linotype" w:eastAsia="Palatino Linotype" w:hAnsi="Palatino Linotype" w:cs="Palatino Linotype"/>
          <w:color w:val="000000"/>
          <w:sz w:val="20"/>
          <w:szCs w:val="20"/>
        </w:rPr>
        <w:t xml:space="preserve">, en Revista Buen Gobierno, núm. 26, Fundación Mexicana de Estudios Políticos y Administrativos AC, México (DOI: </w:t>
      </w:r>
      <w:hyperlink r:id="rId1">
        <w:r>
          <w:rPr>
            <w:rFonts w:ascii="Palatino Linotype" w:eastAsia="Palatino Linotype" w:hAnsi="Palatino Linotype" w:cs="Palatino Linotype"/>
            <w:color w:val="0563C1"/>
            <w:sz w:val="20"/>
            <w:szCs w:val="20"/>
            <w:u w:val="single"/>
          </w:rPr>
          <w:t>https://doi.org/10.35247/buengob_26_05</w:t>
        </w:r>
      </w:hyperlink>
      <w:r>
        <w:rPr>
          <w:rFonts w:ascii="Palatino Linotype" w:eastAsia="Palatino Linotype" w:hAnsi="Palatino Linotype" w:cs="Palatino Linotype"/>
          <w:color w:val="000000"/>
          <w:sz w:val="20"/>
          <w:szCs w:val="20"/>
        </w:rPr>
        <w:t xml:space="preserve"> ). En este, el autor propone que para entender los avances en materia de apertura se deben considerar, entre otros elementos, la participación ciudadana, los debidos recursos humanos y financieros para garantizar el acceso a la información, así como un uso adecuado de tecnologías para la gestión pública. De igual modo, fue un punto de partida importante el documento de Sandoval, Rodrigo (2018) </w:t>
      </w:r>
      <w:r>
        <w:rPr>
          <w:rFonts w:ascii="Palatino Linotype" w:eastAsia="Palatino Linotype" w:hAnsi="Palatino Linotype" w:cs="Palatino Linotype"/>
          <w:i/>
          <w:color w:val="000000"/>
          <w:sz w:val="20"/>
          <w:szCs w:val="20"/>
        </w:rPr>
        <w:t>“México, entre el Gobierno Abierto y la Transparencia Artificial”</w:t>
      </w:r>
      <w:r>
        <w:rPr>
          <w:rFonts w:ascii="Palatino Linotype" w:eastAsia="Palatino Linotype" w:hAnsi="Palatino Linotype" w:cs="Palatino Linotype"/>
          <w:color w:val="000000"/>
          <w:sz w:val="20"/>
          <w:szCs w:val="20"/>
        </w:rPr>
        <w:t xml:space="preserve">, en Revista Espacios Públicos, vol. 21, núm. 51, UAEM, Toluca (disponible en </w:t>
      </w:r>
      <w:hyperlink r:id="rId2">
        <w:r>
          <w:rPr>
            <w:rFonts w:ascii="Palatino Linotype" w:eastAsia="Palatino Linotype" w:hAnsi="Palatino Linotype" w:cs="Palatino Linotype"/>
            <w:color w:val="0563C1"/>
            <w:sz w:val="20"/>
            <w:szCs w:val="20"/>
            <w:u w:val="single"/>
          </w:rPr>
          <w:t>https://www.redalyc.org/journal/676/67658324005/67658324005.pdf</w:t>
        </w:r>
      </w:hyperlink>
      <w:r>
        <w:rPr>
          <w:rFonts w:ascii="Palatino Linotype" w:eastAsia="Palatino Linotype" w:hAnsi="Palatino Linotype" w:cs="Palatino Linotype"/>
          <w:color w:val="000000"/>
          <w:sz w:val="20"/>
          <w:szCs w:val="20"/>
        </w:rPr>
        <w:t xml:space="preserve">). En sus reflexiones, el autor sugiere revisar el concepto de Gobierno Abierto para centrar el foco analítico en el uso de las tecnologías como herramientas indispensables de apertura </w:t>
      </w:r>
      <w:r>
        <w:rPr>
          <w:rFonts w:ascii="Palatino Linotype" w:eastAsia="Palatino Linotype" w:hAnsi="Palatino Linotype" w:cs="Palatino Linotype"/>
          <w:sz w:val="20"/>
          <w:szCs w:val="20"/>
        </w:rPr>
        <w:t>y transparencia</w:t>
      </w:r>
      <w:r>
        <w:rPr>
          <w:rFonts w:ascii="Palatino Linotype" w:eastAsia="Palatino Linotype" w:hAnsi="Palatino Linotype" w:cs="Palatino Linotype"/>
          <w:color w:val="000000"/>
          <w:sz w:val="20"/>
          <w:szCs w:val="20"/>
        </w:rPr>
        <w:t xml:space="preserve">.  </w:t>
      </w:r>
    </w:p>
  </w:footnote>
  <w:footnote w:id="3">
    <w:p w14:paraId="38B1774E"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Véase, por ejemplo, el “Mapeo de Buenas Prácticas de Gobierno Abierto en el ámbito municipal” de la Caja de herramientas de Gobierno Abierto Municipal, elaborado por el PNUD, disponible en </w:t>
      </w:r>
      <w:hyperlink r:id="rId3">
        <w:r>
          <w:rPr>
            <w:rFonts w:ascii="Palatino Linotype" w:eastAsia="Palatino Linotype" w:hAnsi="Palatino Linotype" w:cs="Palatino Linotype"/>
            <w:color w:val="0563C1"/>
            <w:sz w:val="20"/>
            <w:szCs w:val="20"/>
            <w:u w:val="single"/>
          </w:rPr>
          <w:t>https://www.undp.org/es/mexico/publications/mapeo-de-buenas-practicas-de-gobierno-abierto-en-el-ambito-municipal</w:t>
        </w:r>
      </w:hyperlink>
      <w:r>
        <w:rPr>
          <w:rFonts w:ascii="Palatino Linotype" w:eastAsia="Palatino Linotype" w:hAnsi="Palatino Linotype" w:cs="Palatino Linotype"/>
          <w:color w:val="000000"/>
          <w:sz w:val="20"/>
          <w:szCs w:val="20"/>
        </w:rPr>
        <w:t xml:space="preserve"> </w:t>
      </w:r>
    </w:p>
  </w:footnote>
  <w:footnote w:id="4">
    <w:p w14:paraId="0B3AB0F3"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Agradecemos también los valiosos aportes del Dr. Guillermo Cejudo Martínez, del Centro de Investigación y Docencia Económicas (CIDE), quien tuvo oportunidad de revisar y comentar el instrumento de recolección de información.</w:t>
      </w:r>
    </w:p>
  </w:footnote>
  <w:footnote w:id="5">
    <w:p w14:paraId="65A303EF"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Estos son: Acolman, Almoloya de Juárez, Amanalco, Amatepec, Axapusco, Chapa de Mota, Chiautla, Ixtlahuaca, Jocotitlán, Naucalpan de Juárez, Nopaltepec, Otumba, Otzoloapan, Otzolotepec, San José del Rincón, San Simón de Guerrero, Santo Tomás, Soyaniquilpan de Juárez, Tejupilco, Tenango del Aire, Tenango del Valle, Tepetlixpa, Tepotzotlán, Texcaltitlán, Texcalyacac, Tianguistenco, Toluca, Tultitlán, Valle de Chalco Solidaridad, Villa de Allende, Villa Victoria, Xalatlaco, Zacazonapan y Zumpango.</w:t>
      </w:r>
    </w:p>
  </w:footnote>
  <w:footnote w:id="6">
    <w:p w14:paraId="39DAE7BA" w14:textId="77777777" w:rsidR="00A17147" w:rsidRDefault="00853C9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Corresponden a: Almoloya de Juárez, Amanalco, </w:t>
      </w:r>
      <w:r>
        <w:rPr>
          <w:rFonts w:ascii="Palatino Linotype" w:eastAsia="Palatino Linotype" w:hAnsi="Palatino Linotype" w:cs="Palatino Linotype"/>
          <w:b/>
          <w:color w:val="000000"/>
          <w:sz w:val="20"/>
          <w:szCs w:val="20"/>
        </w:rPr>
        <w:t>Amatepec, Jocotitlán</w:t>
      </w:r>
      <w:r>
        <w:rPr>
          <w:rFonts w:ascii="Palatino Linotype" w:eastAsia="Palatino Linotype" w:hAnsi="Palatino Linotype" w:cs="Palatino Linotype"/>
          <w:color w:val="000000"/>
          <w:sz w:val="20"/>
          <w:szCs w:val="20"/>
        </w:rPr>
        <w:t xml:space="preserve">, San José del Rincón, Santo Tomás, Tepetlixpa, </w:t>
      </w:r>
      <w:r>
        <w:rPr>
          <w:rFonts w:ascii="Palatino Linotype" w:eastAsia="Palatino Linotype" w:hAnsi="Palatino Linotype" w:cs="Palatino Linotype"/>
          <w:b/>
          <w:color w:val="000000"/>
          <w:sz w:val="20"/>
          <w:szCs w:val="20"/>
        </w:rPr>
        <w:t>Tepotzotlán</w:t>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Texcaltitlán</w:t>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Texcalyacac, Tianguistenco, Tultitlán</w:t>
      </w:r>
      <w:r>
        <w:rPr>
          <w:rFonts w:ascii="Palatino Linotype" w:eastAsia="Palatino Linotype" w:hAnsi="Palatino Linotype" w:cs="Palatino Linotype"/>
          <w:color w:val="000000"/>
          <w:sz w:val="20"/>
          <w:szCs w:val="20"/>
        </w:rPr>
        <w:t xml:space="preserve">, Valle de Chalco Solidaridad, Villa de Allende, </w:t>
      </w:r>
      <w:r>
        <w:rPr>
          <w:rFonts w:ascii="Palatino Linotype" w:eastAsia="Palatino Linotype" w:hAnsi="Palatino Linotype" w:cs="Palatino Linotype"/>
          <w:b/>
          <w:color w:val="000000"/>
          <w:sz w:val="20"/>
          <w:szCs w:val="20"/>
        </w:rPr>
        <w:t>Xalatlaco</w:t>
      </w:r>
      <w:r>
        <w:rPr>
          <w:rFonts w:ascii="Palatino Linotype" w:eastAsia="Palatino Linotype" w:hAnsi="Palatino Linotype" w:cs="Palatino Linotype"/>
          <w:color w:val="000000"/>
          <w:sz w:val="20"/>
          <w:szCs w:val="20"/>
        </w:rPr>
        <w:t xml:space="preserve"> y Zacazonapan.</w:t>
      </w:r>
    </w:p>
  </w:footnote>
  <w:footnote w:id="7">
    <w:p w14:paraId="67213DCE" w14:textId="5300479D" w:rsidR="00A17147" w:rsidRDefault="00853C93" w:rsidP="008672ED">
      <w:pPr>
        <w:spacing w:after="0" w:line="240" w:lineRule="auto"/>
        <w:jc w:val="both"/>
        <w:rPr>
          <w:sz w:val="20"/>
          <w:szCs w:val="20"/>
        </w:rPr>
      </w:pPr>
      <w:r>
        <w:rPr>
          <w:vertAlign w:val="superscript"/>
        </w:rPr>
        <w:footnoteRef/>
      </w:r>
      <w:r>
        <w:rPr>
          <w:rFonts w:ascii="Palatino Linotype" w:eastAsia="Palatino Linotype" w:hAnsi="Palatino Linotype" w:cs="Palatino Linotype"/>
          <w:sz w:val="20"/>
          <w:szCs w:val="20"/>
        </w:rPr>
        <w:t xml:space="preserve"> Son los casos de: </w:t>
      </w:r>
      <w:r>
        <w:rPr>
          <w:rFonts w:ascii="Palatino Linotype" w:eastAsia="Palatino Linotype" w:hAnsi="Palatino Linotype" w:cs="Palatino Linotype"/>
          <w:b/>
          <w:sz w:val="20"/>
          <w:szCs w:val="20"/>
        </w:rPr>
        <w:t>Amatepec</w:t>
      </w:r>
      <w:r>
        <w:rPr>
          <w:rFonts w:ascii="Palatino Linotype" w:eastAsia="Palatino Linotype" w:hAnsi="Palatino Linotype" w:cs="Palatino Linotype"/>
          <w:sz w:val="20"/>
          <w:szCs w:val="20"/>
        </w:rPr>
        <w:t xml:space="preserve">, Chimalhuacán, Jiquipilco, </w:t>
      </w:r>
      <w:r>
        <w:rPr>
          <w:rFonts w:ascii="Palatino Linotype" w:eastAsia="Palatino Linotype" w:hAnsi="Palatino Linotype" w:cs="Palatino Linotype"/>
          <w:b/>
          <w:sz w:val="20"/>
          <w:szCs w:val="20"/>
        </w:rPr>
        <w:t>Jocotitlán</w:t>
      </w:r>
      <w:r>
        <w:rPr>
          <w:rFonts w:ascii="Palatino Linotype" w:eastAsia="Palatino Linotype" w:hAnsi="Palatino Linotype" w:cs="Palatino Linotype"/>
          <w:sz w:val="20"/>
          <w:szCs w:val="20"/>
        </w:rPr>
        <w:t xml:space="preserve">, Polotitlán, Tepetlixpa, </w:t>
      </w:r>
      <w:r>
        <w:rPr>
          <w:rFonts w:ascii="Palatino Linotype" w:eastAsia="Palatino Linotype" w:hAnsi="Palatino Linotype" w:cs="Palatino Linotype"/>
          <w:b/>
          <w:sz w:val="20"/>
          <w:szCs w:val="20"/>
        </w:rPr>
        <w:t>Tepotzotlán, Texcaltitlán, Texcalyacac, Tianguistenco, Tultitlán y Xalatlaco.</w:t>
      </w:r>
    </w:p>
  </w:footnote>
  <w:footnote w:id="8">
    <w:p w14:paraId="014CFAEE" w14:textId="4CC8262E" w:rsidR="00A17147" w:rsidRDefault="00853C93">
      <w:pPr>
        <w:spacing w:after="0" w:line="240" w:lineRule="auto"/>
        <w:jc w:val="both"/>
        <w:rPr>
          <w:sz w:val="20"/>
          <w:szCs w:val="20"/>
        </w:rPr>
      </w:pPr>
      <w:r>
        <w:rPr>
          <w:vertAlign w:val="superscript"/>
        </w:rPr>
        <w:footnoteRef/>
      </w:r>
      <w:r>
        <w:rPr>
          <w:rFonts w:ascii="Palatino Linotype" w:eastAsia="Palatino Linotype" w:hAnsi="Palatino Linotype" w:cs="Palatino Linotype"/>
          <w:sz w:val="20"/>
          <w:szCs w:val="20"/>
        </w:rPr>
        <w:t xml:space="preserve"> Estos son los municipios de:</w:t>
      </w:r>
      <w:r w:rsidR="008672ED">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Amatepec, Chimalhuacán, Cuautitlán, Cuautitlán Izcalli, Jiquipilco, Jocotitlán, La Paz, Lerma, San José del Rincón, San Mateo Atenco, Temascalapa, Tepetlixpa, Tepotzotlán, Texcaltitlán, Texcalyacac, Tianguistenco, Tlalnepantla de Baz, Tultitlán y Xalatlaco.</w:t>
      </w:r>
    </w:p>
  </w:footnote>
  <w:footnote w:id="9">
    <w:p w14:paraId="01432FF1" w14:textId="26C9367E" w:rsidR="00A17147" w:rsidRDefault="00853C93">
      <w:pPr>
        <w:spacing w:after="0" w:line="240" w:lineRule="auto"/>
        <w:jc w:val="both"/>
        <w:rPr>
          <w:sz w:val="20"/>
          <w:szCs w:val="20"/>
        </w:rPr>
      </w:pPr>
      <w:r>
        <w:rPr>
          <w:vertAlign w:val="superscript"/>
        </w:rPr>
        <w:footnoteRef/>
      </w:r>
      <w:r>
        <w:rPr>
          <w:rFonts w:ascii="Palatino Linotype" w:eastAsia="Palatino Linotype" w:hAnsi="Palatino Linotype" w:cs="Palatino Linotype"/>
          <w:sz w:val="20"/>
          <w:szCs w:val="20"/>
        </w:rPr>
        <w:t xml:space="preserve"> Estos municipios son: Almoloya del Río, Amanalco, Atizapán, Calimaya, Capulhuac, Chiautla, Chimalhuacán, </w:t>
      </w:r>
      <w:r w:rsidR="008672ED">
        <w:rPr>
          <w:rFonts w:ascii="Palatino Linotype" w:eastAsia="Palatino Linotype" w:hAnsi="Palatino Linotype" w:cs="Palatino Linotype"/>
          <w:sz w:val="20"/>
          <w:szCs w:val="20"/>
        </w:rPr>
        <w:t>Chiconcuac</w:t>
      </w:r>
      <w:r>
        <w:rPr>
          <w:rFonts w:ascii="Palatino Linotype" w:eastAsia="Palatino Linotype" w:hAnsi="Palatino Linotype" w:cs="Palatino Linotype"/>
          <w:sz w:val="20"/>
          <w:szCs w:val="20"/>
        </w:rPr>
        <w:t xml:space="preserve">, Coacalco de </w:t>
      </w:r>
      <w:r w:rsidR="008672ED">
        <w:rPr>
          <w:rFonts w:ascii="Palatino Linotype" w:eastAsia="Palatino Linotype" w:hAnsi="Palatino Linotype" w:cs="Palatino Linotype"/>
          <w:sz w:val="20"/>
          <w:szCs w:val="20"/>
        </w:rPr>
        <w:t>Berriozábal</w:t>
      </w:r>
      <w:r>
        <w:rPr>
          <w:rFonts w:ascii="Palatino Linotype" w:eastAsia="Palatino Linotype" w:hAnsi="Palatino Linotype" w:cs="Palatino Linotype"/>
          <w:sz w:val="20"/>
          <w:szCs w:val="20"/>
        </w:rPr>
        <w:t>, Huehuetoca, Huixquilucan, Ixtlahuaca, Jilotepec,</w:t>
      </w:r>
      <w:r w:rsidR="008672ED">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Jilotzingo, Jocotitlán, La Paz, Nicolás Romero, Ozumba, San Mateo Atenco, Tenango del Valle, Tequixquiac, Tlatlaya, Tultepec, Tultitlán, Valle de Bravo, Xalatlaco y Zinacantepec.</w:t>
      </w:r>
    </w:p>
  </w:footnote>
  <w:footnote w:id="10">
    <w:p w14:paraId="0992DBDD" w14:textId="77777777" w:rsidR="00A17147" w:rsidRDefault="00853C93">
      <w:pPr>
        <w:spacing w:after="0" w:line="240" w:lineRule="auto"/>
        <w:jc w:val="both"/>
        <w:rPr>
          <w:rFonts w:ascii="Palatino Linotype" w:eastAsia="Palatino Linotype" w:hAnsi="Palatino Linotype" w:cs="Palatino Linotype"/>
          <w:sz w:val="20"/>
          <w:szCs w:val="20"/>
        </w:rPr>
      </w:pPr>
      <w:r>
        <w:rPr>
          <w:vertAlign w:val="superscript"/>
        </w:rPr>
        <w:footnoteRef/>
      </w:r>
      <w:r>
        <w:rPr>
          <w:rFonts w:ascii="Palatino Linotype" w:eastAsia="Palatino Linotype" w:hAnsi="Palatino Linotype" w:cs="Palatino Linotype"/>
          <w:sz w:val="20"/>
          <w:szCs w:val="20"/>
        </w:rPr>
        <w:t xml:space="preserve"> A reserva de un análisis más exhaustivo se podría hacer un cruce con los resultados de la Verificación Virtual Oficiosa que realiza el Infoem, así como la revisión de atención a solicitudes de estos municipios para corroborar que efectivamente están cumpliendo con sus obligaciones en materia de Transparencia.</w:t>
      </w:r>
    </w:p>
  </w:footnote>
  <w:footnote w:id="11">
    <w:p w14:paraId="62096BCF" w14:textId="77777777" w:rsidR="00A17147" w:rsidRDefault="00853C93">
      <w:pPr>
        <w:spacing w:after="0" w:line="240" w:lineRule="auto"/>
        <w:rPr>
          <w:rFonts w:ascii="Palatino Linotype" w:eastAsia="Palatino Linotype" w:hAnsi="Palatino Linotype" w:cs="Palatino Linotype"/>
          <w:sz w:val="20"/>
          <w:szCs w:val="20"/>
        </w:rPr>
      </w:pPr>
      <w:r>
        <w:rPr>
          <w:vertAlign w:val="superscript"/>
        </w:rPr>
        <w:footnoteRef/>
      </w:r>
      <w:r>
        <w:rPr>
          <w:rFonts w:ascii="Palatino Linotype" w:eastAsia="Palatino Linotype" w:hAnsi="Palatino Linotype" w:cs="Palatino Linotype"/>
          <w:sz w:val="20"/>
          <w:szCs w:val="20"/>
        </w:rPr>
        <w:t xml:space="preserve"> FUENTE: </w:t>
      </w:r>
      <w:hyperlink r:id="rId4">
        <w:r>
          <w:rPr>
            <w:rFonts w:ascii="Palatino Linotype" w:eastAsia="Palatino Linotype" w:hAnsi="Palatino Linotype" w:cs="Palatino Linotype"/>
            <w:color w:val="1155CC"/>
            <w:sz w:val="20"/>
            <w:szCs w:val="20"/>
            <w:u w:val="single"/>
          </w:rPr>
          <w:t>https://cuentame.inegi.org.mx/monografias/informacion/mex/territorio/div_municipal.aspx?tema=me&amp;e=15</w:t>
        </w:r>
      </w:hyperlink>
      <w:r>
        <w:rPr>
          <w:rFonts w:ascii="Palatino Linotype" w:eastAsia="Palatino Linotype" w:hAnsi="Palatino Linotype" w:cs="Palatino Linotype"/>
          <w:sz w:val="20"/>
          <w:szCs w:val="20"/>
        </w:rPr>
        <w:t xml:space="preserve"> </w:t>
      </w:r>
    </w:p>
  </w:footnote>
  <w:footnote w:id="12">
    <w:p w14:paraId="423E6388" w14:textId="2BB44CAA" w:rsidR="00A17147" w:rsidRDefault="00853C93" w:rsidP="00853C93">
      <w:pPr>
        <w:spacing w:after="0" w:line="240" w:lineRule="auto"/>
        <w:jc w:val="both"/>
        <w:rPr>
          <w:sz w:val="20"/>
          <w:szCs w:val="20"/>
        </w:rPr>
      </w:pPr>
      <w:r>
        <w:rPr>
          <w:vertAlign w:val="superscript"/>
        </w:rPr>
        <w:footnoteRef/>
      </w:r>
      <w:r>
        <w:rPr>
          <w:rFonts w:ascii="Palatino Linotype" w:eastAsia="Palatino Linotype" w:hAnsi="Palatino Linotype" w:cs="Palatino Linotype"/>
          <w:sz w:val="20"/>
          <w:szCs w:val="20"/>
        </w:rPr>
        <w:t xml:space="preserve"> Son los casos de: Amatepec, Cuautitlán, Jocotitlán, Joquicingo, San José del Rincón, Temascalapa, Tepetlixpa, Tepotzotlán, Texcalyacac, Tianguistenco, Tlalnepantla de Baz y Tultitlán.</w:t>
      </w:r>
    </w:p>
  </w:footnote>
  <w:footnote w:id="13">
    <w:p w14:paraId="6E7D2222" w14:textId="77777777" w:rsidR="00A17147" w:rsidRDefault="00853C93">
      <w:pPr>
        <w:spacing w:after="0" w:line="240" w:lineRule="auto"/>
        <w:jc w:val="both"/>
        <w:rPr>
          <w:rFonts w:ascii="Palatino Linotype" w:eastAsia="Palatino Linotype" w:hAnsi="Palatino Linotype" w:cs="Palatino Linotype"/>
          <w:sz w:val="20"/>
          <w:szCs w:val="20"/>
        </w:rPr>
      </w:pPr>
      <w:r>
        <w:rPr>
          <w:vertAlign w:val="superscript"/>
        </w:rPr>
        <w:footnoteRef/>
      </w:r>
      <w:r>
        <w:rPr>
          <w:rFonts w:ascii="Palatino Linotype" w:eastAsia="Palatino Linotype" w:hAnsi="Palatino Linotype" w:cs="Palatino Linotype"/>
          <w:sz w:val="20"/>
          <w:szCs w:val="20"/>
        </w:rPr>
        <w:t xml:space="preserve"> Son los municipios de: Capulhuac, Coatepec Harinas, Cocotitlán, Malinalco, Otzolotepec, San Antonio la Isla, Valle de Bravo y Zinacantepec.</w:t>
      </w:r>
    </w:p>
    <w:p w14:paraId="5193685D" w14:textId="77777777" w:rsidR="00A17147" w:rsidRDefault="00A17147">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828E" w14:textId="77777777" w:rsidR="00A17147" w:rsidRDefault="00853C9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1D80DB77" wp14:editId="73702F4E">
          <wp:simplePos x="0" y="0"/>
          <wp:positionH relativeFrom="column">
            <wp:posOffset>-1080134</wp:posOffset>
          </wp:positionH>
          <wp:positionV relativeFrom="paragraph">
            <wp:posOffset>-457834</wp:posOffset>
          </wp:positionV>
          <wp:extent cx="7756263" cy="10101221"/>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6263" cy="10101221"/>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1D3C3B0" wp14:editId="2407169F">
              <wp:simplePos x="0" y="0"/>
              <wp:positionH relativeFrom="column">
                <wp:posOffset>1028700</wp:posOffset>
              </wp:positionH>
              <wp:positionV relativeFrom="paragraph">
                <wp:posOffset>520700</wp:posOffset>
              </wp:positionV>
              <wp:extent cx="5381625" cy="459740"/>
              <wp:effectExtent l="0" t="0" r="0" b="0"/>
              <wp:wrapNone/>
              <wp:docPr id="14" name="Rectángulo 14"/>
              <wp:cNvGraphicFramePr/>
              <a:graphic xmlns:a="http://schemas.openxmlformats.org/drawingml/2006/main">
                <a:graphicData uri="http://schemas.microsoft.com/office/word/2010/wordprocessingShape">
                  <wps:wsp>
                    <wps:cNvSpPr/>
                    <wps:spPr>
                      <a:xfrm>
                        <a:off x="2659950" y="3554893"/>
                        <a:ext cx="5372100" cy="450215"/>
                      </a:xfrm>
                      <a:prstGeom prst="rect">
                        <a:avLst/>
                      </a:prstGeom>
                      <a:noFill/>
                      <a:ln>
                        <a:noFill/>
                      </a:ln>
                    </wps:spPr>
                    <wps:txbx>
                      <w:txbxContent>
                        <w:p w14:paraId="66B8F31B" w14:textId="77777777" w:rsidR="00A17147" w:rsidRDefault="00853C93">
                          <w:pPr>
                            <w:spacing w:line="258" w:lineRule="auto"/>
                            <w:jc w:val="right"/>
                            <w:textDirection w:val="btLr"/>
                          </w:pPr>
                          <w:r>
                            <w:rPr>
                              <w:rFonts w:ascii="Arial" w:eastAsia="Arial" w:hAnsi="Arial" w:cs="Arial"/>
                              <w:color w:val="222222"/>
                              <w:sz w:val="16"/>
                              <w:highlight w:val="white"/>
                            </w:rPr>
                            <w:t> </w:t>
                          </w:r>
                          <w:r>
                            <w:rPr>
                              <w:rFonts w:ascii="Arial" w:eastAsia="Arial" w:hAnsi="Arial" w:cs="Arial"/>
                              <w:color w:val="222222"/>
                              <w:sz w:val="18"/>
                              <w:highlight w:val="white"/>
                            </w:rPr>
                            <w:t>2022. “Año del Quincentenario de Toluca, capital del Estado de México”.</w:t>
                          </w:r>
                        </w:p>
                        <w:p w14:paraId="605336B0" w14:textId="77777777" w:rsidR="00A17147" w:rsidRDefault="00A17147">
                          <w:pPr>
                            <w:spacing w:line="258"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31D3C3B0" id="Rectángulo 14" o:spid="_x0000_s1026" style="position:absolute;margin-left:81pt;margin-top:41pt;width:423.75pt;height:3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" filled="f" stroked="f">
              <v:textbox inset="2.53958mm,1.2694mm,2.53958mm,1.2694mm">
                <w:txbxContent>
                  <w:p w14:paraId="66B8F31B" w14:textId="77777777" w:rsidR="00A17147" w:rsidRDefault="00000000">
                    <w:pPr>
                      <w:spacing w:line="258" w:lineRule="auto"/>
                      <w:jc w:val="right"/>
                      <w:textDirection w:val="btLr"/>
                    </w:pPr>
                    <w:r>
                      <w:rPr>
                        <w:rFonts w:ascii="Arial" w:eastAsia="Arial" w:hAnsi="Arial" w:cs="Arial"/>
                        <w:color w:val="222222"/>
                        <w:sz w:val="16"/>
                        <w:highlight w:val="white"/>
                      </w:rPr>
                      <w:t> </w:t>
                    </w:r>
                    <w:r>
                      <w:rPr>
                        <w:rFonts w:ascii="Arial" w:eastAsia="Arial" w:hAnsi="Arial" w:cs="Arial"/>
                        <w:color w:val="222222"/>
                        <w:sz w:val="18"/>
                        <w:highlight w:val="white"/>
                      </w:rPr>
                      <w:t xml:space="preserve">2022. “Año del </w:t>
                    </w:r>
                    <w:proofErr w:type="spellStart"/>
                    <w:r>
                      <w:rPr>
                        <w:rFonts w:ascii="Arial" w:eastAsia="Arial" w:hAnsi="Arial" w:cs="Arial"/>
                        <w:color w:val="222222"/>
                        <w:sz w:val="18"/>
                        <w:highlight w:val="white"/>
                      </w:rPr>
                      <w:t>Quincentenario</w:t>
                    </w:r>
                    <w:proofErr w:type="spellEnd"/>
                    <w:r>
                      <w:rPr>
                        <w:rFonts w:ascii="Arial" w:eastAsia="Arial" w:hAnsi="Arial" w:cs="Arial"/>
                        <w:color w:val="222222"/>
                        <w:sz w:val="18"/>
                        <w:highlight w:val="white"/>
                      </w:rPr>
                      <w:t xml:space="preserve"> de Toluca, capital del Estado de México”.</w:t>
                    </w:r>
                  </w:p>
                  <w:p w14:paraId="605336B0" w14:textId="77777777" w:rsidR="00A17147" w:rsidRDefault="00A17147">
                    <w:pPr>
                      <w:spacing w:line="258" w:lineRule="auto"/>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B3720"/>
    <w:multiLevelType w:val="multilevel"/>
    <w:tmpl w:val="FC10B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D32734"/>
    <w:multiLevelType w:val="multilevel"/>
    <w:tmpl w:val="7A28E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9997216">
    <w:abstractNumId w:val="1"/>
  </w:num>
  <w:num w:numId="2" w16cid:durableId="45522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47"/>
    <w:rsid w:val="003263B8"/>
    <w:rsid w:val="00853C93"/>
    <w:rsid w:val="008672ED"/>
    <w:rsid w:val="009B1E8D"/>
    <w:rsid w:val="00A17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6278A"/>
  <w15:docId w15:val="{F53A4166-5FC2-4F66-AC35-D3938905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0C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inespaciado">
    <w:name w:val="No Spacing"/>
    <w:uiPriority w:val="1"/>
    <w:qFormat/>
    <w:rsid w:val="00CA47EF"/>
    <w:pPr>
      <w:spacing w:after="0" w:line="240" w:lineRule="auto"/>
    </w:pPr>
  </w:style>
  <w:style w:type="table" w:styleId="Tablaconcuadrcula2-nfasis3">
    <w:name w:val="Grid Table 2 Accent 3"/>
    <w:basedOn w:val="Tablanormal"/>
    <w:uiPriority w:val="47"/>
    <w:rsid w:val="00D95F3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normal1">
    <w:name w:val="Plain Table 1"/>
    <w:basedOn w:val="Tablanormal"/>
    <w:uiPriority w:val="41"/>
    <w:rsid w:val="00692E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0026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26E9"/>
  </w:style>
  <w:style w:type="paragraph" w:styleId="Piedepgina">
    <w:name w:val="footer"/>
    <w:basedOn w:val="Normal"/>
    <w:link w:val="PiedepginaCar"/>
    <w:uiPriority w:val="99"/>
    <w:unhideWhenUsed/>
    <w:rsid w:val="000026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26E9"/>
  </w:style>
  <w:style w:type="table" w:styleId="Tablaconcuadrcula">
    <w:name w:val="Table Grid"/>
    <w:basedOn w:val="Tablanormal"/>
    <w:uiPriority w:val="39"/>
    <w:rsid w:val="0079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06E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6ECF"/>
    <w:rPr>
      <w:rFonts w:ascii="Segoe UI" w:hAnsi="Segoe UI" w:cs="Segoe UI"/>
      <w:sz w:val="18"/>
      <w:szCs w:val="18"/>
    </w:rPr>
  </w:style>
  <w:style w:type="paragraph" w:styleId="Prrafodelista">
    <w:name w:val="List Paragraph"/>
    <w:basedOn w:val="Normal"/>
    <w:uiPriority w:val="34"/>
    <w:qFormat/>
    <w:rsid w:val="00FD3CA4"/>
    <w:pPr>
      <w:ind w:left="720"/>
      <w:contextualSpacing/>
    </w:pPr>
    <w:rPr>
      <w:lang w:val="en-US"/>
    </w:rPr>
  </w:style>
  <w:style w:type="paragraph" w:styleId="NormalWeb">
    <w:name w:val="Normal (Web)"/>
    <w:basedOn w:val="Normal"/>
    <w:uiPriority w:val="99"/>
    <w:unhideWhenUsed/>
    <w:rsid w:val="00FD3CA4"/>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anormal2">
    <w:name w:val="Plain Table 2"/>
    <w:basedOn w:val="Tablanormal"/>
    <w:uiPriority w:val="42"/>
    <w:rsid w:val="00A014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notapie">
    <w:name w:val="footnote text"/>
    <w:basedOn w:val="Normal"/>
    <w:link w:val="TextonotapieCar"/>
    <w:uiPriority w:val="99"/>
    <w:semiHidden/>
    <w:unhideWhenUsed/>
    <w:rsid w:val="00BC22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224C"/>
    <w:rPr>
      <w:sz w:val="20"/>
      <w:szCs w:val="20"/>
    </w:rPr>
  </w:style>
  <w:style w:type="character" w:styleId="Refdenotaalpie">
    <w:name w:val="footnote reference"/>
    <w:basedOn w:val="Fuentedeprrafopredeter"/>
    <w:uiPriority w:val="99"/>
    <w:semiHidden/>
    <w:unhideWhenUsed/>
    <w:rsid w:val="00BC224C"/>
    <w:rPr>
      <w:vertAlign w:val="superscript"/>
    </w:rPr>
  </w:style>
  <w:style w:type="character" w:styleId="Hipervnculo">
    <w:name w:val="Hyperlink"/>
    <w:basedOn w:val="Fuentedeprrafopredeter"/>
    <w:uiPriority w:val="99"/>
    <w:unhideWhenUsed/>
    <w:rsid w:val="00B50F4C"/>
    <w:rPr>
      <w:color w:val="0563C1" w:themeColor="hyperlink"/>
      <w:u w:val="single"/>
    </w:rPr>
  </w:style>
  <w:style w:type="character" w:styleId="Mencinsinresolver">
    <w:name w:val="Unresolved Mention"/>
    <w:basedOn w:val="Fuentedeprrafopredeter"/>
    <w:uiPriority w:val="99"/>
    <w:semiHidden/>
    <w:unhideWhenUsed/>
    <w:rsid w:val="00B50F4C"/>
    <w:rPr>
      <w:color w:val="605E5C"/>
      <w:shd w:val="clear" w:color="auto" w:fill="E1DFDD"/>
    </w:rPr>
  </w:style>
  <w:style w:type="table" w:styleId="Tabladecuadrcula3">
    <w:name w:val="Grid Table 3"/>
    <w:basedOn w:val="Tablanormal"/>
    <w:uiPriority w:val="48"/>
    <w:rsid w:val="004120C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a1">
    <w:basedOn w:val="TableNormal"/>
    <w:pPr>
      <w:spacing w:after="0" w:line="240" w:lineRule="auto"/>
    </w:pPr>
    <w:tblPr>
      <w:tblStyleRowBandSize w:val="1"/>
      <w:tblStyleColBandSize w:val="1"/>
      <w:tblCellMar>
        <w:left w:w="108" w:type="dxa"/>
        <w:right w:w="108"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a2">
    <w:basedOn w:val="TableNormal"/>
    <w:pPr>
      <w:spacing w:after="0" w:line="240" w:lineRule="auto"/>
    </w:pPr>
    <w:tblPr>
      <w:tblStyleRowBandSize w:val="1"/>
      <w:tblStyleColBandSize w:val="1"/>
      <w:tblCellMar>
        <w:left w:w="108" w:type="dxa"/>
        <w:right w:w="108"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a3">
    <w:basedOn w:val="TableNormal"/>
    <w:pPr>
      <w:spacing w:after="0" w:line="240" w:lineRule="auto"/>
    </w:pPr>
    <w:tblPr>
      <w:tblStyleRowBandSize w:val="1"/>
      <w:tblStyleColBandSize w:val="1"/>
      <w:tblCellMar>
        <w:left w:w="108" w:type="dxa"/>
        <w:right w:w="108"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dalyc.org/articulo.oa?id=42144001008" TargetMode="External"/><Relationship Id="rId4" Type="http://schemas.openxmlformats.org/officeDocument/2006/relationships/styles" Target="styles.xml"/><Relationship Id="rId9" Type="http://schemas.openxmlformats.org/officeDocument/2006/relationships/hyperlink" Target="http://www.redalyc.org/articulo.oa?id=96055458002"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ndp.org/es/mexico/publications/mapeo-de-buenas-practicas-de-gobierno-abierto-en-el-ambito-municipal" TargetMode="External"/><Relationship Id="rId2" Type="http://schemas.openxmlformats.org/officeDocument/2006/relationships/hyperlink" Target="https://www.redalyc.org/journal/676/67658324005/67658324005.pdf" TargetMode="External"/><Relationship Id="rId1" Type="http://schemas.openxmlformats.org/officeDocument/2006/relationships/hyperlink" Target="https://doi.org/10.35247/buengob_26_05" TargetMode="External"/><Relationship Id="rId4" Type="http://schemas.openxmlformats.org/officeDocument/2006/relationships/hyperlink" Target="https://cuentame.inegi.org.mx/monografias/informacion/mex/territorio/div_municipal.aspx?tema=me&amp;e=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ifvi5DOQh4bxFF6H5hOEvEFdXg==">AMUW2mW1XPl7u/m+HgaSV+5SY5DsuAyXdfIA3QH6NjoQ3BR/954Eo/oz/Ry93a7lZ7h4TOaDxsz4y+illnEDcSfn5myIEE1TdihqZ7dCR3EUjQoCf/kfE30=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3028C9-3C31-455D-BA7F-133887DA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4318</Words>
  <Characters>23752</Characters>
  <Application>Microsoft Office Word</Application>
  <DocSecurity>0</DocSecurity>
  <Lines>197</Lines>
  <Paragraphs>56</Paragraphs>
  <ScaleCrop>false</ScaleCrop>
  <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Bernardo Aguilar</cp:lastModifiedBy>
  <cp:revision>4</cp:revision>
  <dcterms:created xsi:type="dcterms:W3CDTF">2022-07-12T17:12:00Z</dcterms:created>
  <dcterms:modified xsi:type="dcterms:W3CDTF">2022-07-14T21:45:00Z</dcterms:modified>
</cp:coreProperties>
</file>